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10691-2023-QEO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西安权正辉煌保安服务有限公司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李宝花</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91610131MA6W38FC91</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西安权正辉煌保安服务有限公司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陕西省西安市国家民用航天产业基地神舟三路十一科技西北大厦四层西户416-3</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陕西省西安市国家民用航天产业基地神舟三路十一科技西北大厦四层西户416-3</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E:资质范围内的保安（门卫、巡逻、守护、随身护卫、安全检查、区域秩序维护）服务所涉及场所的相关环境管理活动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O:资质范围内的保安（门卫、巡逻、守护、随身护卫、安全检查、区域秩序维护）服务所涉及场所的相关职业健康安全管理活动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Q:资质范围内的保安（门卫、巡逻、守护、随身护卫、安全检查、区域秩序维护）服务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西安权正辉煌保安服务有限公司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陕西省西安市国家民用航天产业基地神舟三路十一科技西北大厦四层西户416-3</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陕西省西安市国家民用航天产业基地神舟三路十一科技西北大厦四层西户416-3</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E:资质范围内的保安（门卫、巡逻、守护、随身护卫、安全检查、区域秩序维护）服务所涉及场所的相关环境管理活动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O:资质范围内的保安（门卫、巡逻、守护、随身护卫、安全检查、区域秩序维护）服务所涉及场所的相关职业健康安全管理活动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Q:资质范围内的保安（门卫、巡逻、守护、随身护卫、安全检查、区域秩序维护）服务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866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