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10551-2025-ECEO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河北超安建设工程有限公司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91130104MA08Y8GT05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河北超安建设工程有限公司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河北省石家庄市桥西区东马路9号华荣市场综合楼西三楼B301室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河北省石家庄市桥西区东马路9号华荣市场综合楼西三楼B301室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E:资质范围内建筑机电安装工程、建筑装修装饰工程、消防设施工程、劳务分包；建筑消防设施检测、维修、保养；消防安全评估所涉及场所的相关环境管理活动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O:资质范围内建筑机电安装工程、建筑装修装饰工程、消防设施工程、劳务分包；建筑消防设施检测、维修、保养；消防安全评估所涉及场所的相关职业健康安全管理活动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Q:资质范围内建筑机电安装工程、建筑装修装饰工程、消防设施工程、劳务分包；建筑消防设施检测、维修、保养；消防安全评估（认可：劳务分包；建筑消防设施检测、维修、保养；消防安全评估）</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河北超安建设工程有限公司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河北省石家庄市桥西区东马路9号华荣市场综合楼西三楼B301室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河北省石家庄市桥西区东马路9号华荣市场综合楼西三楼B301室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E:资质范围内建筑机电安装工程、建筑装修装饰工程、消防设施工程、劳务分包；建筑消防设施检测、维修、保养；消防安全评估所涉及场所的相关环境管理活动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O:资质范围内建筑机电安装工程、建筑装修装饰工程、消防设施工程、劳务分包；建筑消防设施检测、维修、保养；消防安全评估所涉及场所的相关职业健康安全管理活动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Q:资质范围内建筑机电安装工程、建筑装修装饰工程、消防设施工程、劳务分包；建筑消防设施检测、维修、保养；消防安全评估（认可：劳务分包；建筑消防设施检测、维修、保养；消防安全评估）</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453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