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20653-2025-QE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山西卡本泰科技有限公司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91149900MA0KQWEA5A</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山西卡本泰科技有限公司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山西省大同市开发区高新技术创业服务中心619室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山西省大同市新荣区桥南工业园区甲一号3号办公楼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E:电热膜的销售所涉及场所的相关环境管理活动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Q:电热膜的销售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山西卡本泰科技有限公司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山西省大同市开发区高新技术创业服务中心619室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山西省大同市新荣区桥南工业园区甲一号3号办公楼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E:电热膜的销售所涉及场所的相关环境管理活动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Q:电热膜的销售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944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