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江西昊展科技有限公司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91360122MA36Y9EE11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江西昊展科技有限公司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江西省南昌市新建区长堎镇工业区兴业大道98号1栋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江西省南昌市新建区长堎镇工业区兴业大道98号1栋 </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E:资质范围内的高、低压成套开关设备及高、低压预装式变电站的生产所涉及场所的相关环境管理活动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O:资质范围内的高、低压成套开关设备及高、低压预装式变电站的生产所涉及场所的相关职业健康安全管理活动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Q:资质范围内的高、低压成套开关设备及高、低压预装式变电站的生产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江西昊展科技有限公司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江西省南昌市新建区长堎镇工业区兴业大道98号1栋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江西省南昌市新建区长堎镇工业区兴业大道98号1栋 </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E:资质范围内的高、低压成套开关设备及高、低压预装式变电站的生产所涉及场所的相关环境管理活动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O:资质范围内的高、低压成套开关设备及高、低压预装式变电站的生产所涉及场所的相关职业健康安全管理活动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Q:资质范围内的高、低压成套开关设备及高、低压预装式变电站的生产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694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