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20675-2025-QEO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湖南绿世纪环保科技有限公司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91430111MA4PAARD7U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湖南绿世纪环保科技有限公司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长沙市雨花区金海路128号领智工业园A2栋502室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湖南省长沙市雨花区金海路128号领智工业园A2栋502室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E:固定污染源烟气排放连续监测设备销售所涉及场所的相关环境管理活动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O:固定污染源烟气排放连续监测设备销售所涉及场所的相关职业健康安全管理活动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Q:固定污染源烟气排放连续监测设备销售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湖南绿世纪环保科技有限公司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长沙市雨花区金海路128号领智工业园A2栋502室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湖南省长沙市雨花区金海路128号领智工业园A2栋502室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E:固定污染源烟气排放连续监测设备销售所涉及场所的相关环境管理活动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O:固定污染源烟气排放连续监测设备销售所涉及场所的相关职业健康安全管理活动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Q:固定污染源烟气排放连续监测设备销售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128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