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浮海股份公司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李玉卿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李玉卿、汪桂丽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2026年03月17日上午至2026年03月18日上午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李玉卿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427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