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16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西安电之杰信息科技有限公司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58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2023-N1EMS-2263375</w:t>
            </w:r>
          </w:p>
        </w:tc>
        <w:tc>
          <w:tcPr>
            <w:tcW w:w="3145" w:type="dxa"/>
            <w:vAlign w:val="center"/>
          </w:tcPr>
          <w:p w:rsidR="00142F5C" w:rsidP="00772D33">
            <w:pPr>
              <w:spacing w:line="360" w:lineRule="exact"/>
              <w:jc w:val="center"/>
              <w:rPr>
                <w:szCs w:val="21"/>
              </w:rPr>
            </w:pPr>
            <w:r>
              <w:t>33.02.01,33.03.01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2024-N1OHSMS-2263375</w:t>
            </w:r>
          </w:p>
        </w:tc>
        <w:tc>
          <w:tcPr>
            <w:tcW w:w="3145" w:type="dxa"/>
            <w:vAlign w:val="center"/>
          </w:tcPr>
          <w:p w:rsidR="001F0A49">
            <w:pPr>
              <w:spacing w:line="360" w:lineRule="auto"/>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33.02.01,33.03.01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E:计算机软件开发及技术服务（算法研究）；人工智能公共数据平台所涉及场所的相关环境管理活动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S:计算机软件开发及技术服务（算法研究）；人工智能公共数据平台所涉及场所的相关职业健康安全管理活动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Q:计算机软件开发及技术服务（算法研究）；人工智能公共数据平台</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陕西省西安市高新区创汇路30号大地优合智造中心3号楼336室</w:t>
      </w:r>
    </w:p>
    <w:p w:rsidR="001F0A49">
      <w:pPr>
        <w:spacing w:line="360" w:lineRule="auto"/>
        <w:ind w:firstLine="420" w:firstLineChars="200"/>
      </w:pPr>
      <w:r>
        <w:rPr>
          <w:rFonts w:hint="eastAsia"/>
        </w:rPr>
        <w:t>办公地址：</w:t>
      </w:r>
      <w:r>
        <w:rPr>
          <w:rFonts w:hint="eastAsia"/>
        </w:rPr>
        <w:t>陕西省西安市未央区国金华府21栋2单元1401室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陕西省西安市未央区国金华府21栋2单元1401室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西安电之杰信息科技有限公司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652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