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07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江西万橡家具集团有限公司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06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23.01.01,23.01.04,29.08.07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E:人造板家具、实木家具、钢木家具、软体家具的生产、销售所涉及场所的相关环境管理活动（认证范围覆盖的产品清单详见附件）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O:人造板家具、实木家具、钢木家具、软体家具的生产、销售所涉及场所的相关职业健康安全管理活动（认证范围覆盖的产品清单详见附件）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Q:人造板家具、实木家具、钢木家具、软体家具的生产、销售（认证范围覆盖的产品清单详见附件）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江西省宜春市樟树市盐化产业基地西湖路东侧</w:t>
      </w:r>
    </w:p>
    <w:p w:rsidR="001F0A49">
      <w:pPr>
        <w:spacing w:line="360" w:lineRule="auto"/>
        <w:ind w:firstLine="420" w:firstLineChars="200"/>
      </w:pPr>
      <w:r>
        <w:rPr>
          <w:rFonts w:hint="eastAsia"/>
        </w:rPr>
        <w:t>办公地址：</w:t>
      </w:r>
      <w:r>
        <w:rPr>
          <w:rFonts w:hint="eastAsia"/>
        </w:rPr>
        <w:t>江西省宜春市樟树市盐化产业基地西湖路东侧</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江西省宜春市樟树市盐化产业基地西湖路东侧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江西万橡家具集团有限公司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文波、曾赣玲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029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