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10350-2023-E 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内蒙古恒东集团白家梁煤炭有限责任公司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孙妍</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91150622594618878C</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E:认可,EnMS:未认可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内蒙古恒东集团白家梁煤炭有限责任公司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准格尔旗纳日松镇纳林庙村推猫沟社</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准格尔旗纳日松镇纳林庙村推猫沟社</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E:资质范围内露天煤矿开采所涉及场所的相关环境管理活动</w:t>
            </w:r>
          </w:p>
          <w:p>
            <w:pPr>
              <w:snapToGrid w:val="0"/>
              <w:spacing w:line="0" w:lineRule="atLeast"/>
              <w:jc w:val="left"/>
              <w:rPr>
                <w:rFonts w:hint="eastAsia"/>
                <w:sz w:val="21"/>
                <w:szCs w:val="21"/>
                <w:lang w:val="en-GB"/>
              </w:rPr>
            </w:pPr>
            <w:r>
              <w:rPr>
                <w:rFonts w:hint="eastAsia"/>
                <w:sz w:val="21"/>
                <w:szCs w:val="21"/>
                <w:lang w:val="en-GB"/>
              </w:rPr>
              <w:t>EnMS:资质范围内露天煤矿开采所涉及的能源管理活动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内蒙古恒东集团白家梁煤炭有限责任公司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准格尔旗纳日松镇纳林庙村推猫沟社</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准格尔旗纳日松镇纳林庙村推猫沟社</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E:资质范围内露天煤矿开采所涉及场所的相关环境管理活动</w:t>
            </w:r>
          </w:p>
          <w:p>
            <w:pPr>
              <w:snapToGrid w:val="0"/>
              <w:spacing w:line="0" w:lineRule="atLeast"/>
              <w:jc w:val="left"/>
              <w:rPr>
                <w:rFonts w:hint="eastAsia"/>
                <w:sz w:val="21"/>
                <w:szCs w:val="21"/>
                <w:lang w:val="en-GB"/>
              </w:rPr>
            </w:pPr>
            <w:r>
              <w:rPr>
                <w:rFonts w:hint="eastAsia"/>
                <w:sz w:val="21"/>
                <w:szCs w:val="21"/>
                <w:lang w:val="en-GB"/>
              </w:rPr>
              <w:t>EnMS:资质范围内露天煤矿开采所涉及的能源管理活动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9198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