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东道品牌创意集团有限公司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11490-2024-QEO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北京市朝阳区和平里西街3号15号楼4层401室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北京市朝阳区和平里西街3号15号楼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18911245323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zhangyue@dongdao.net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2026年01月06日 09:00至2026年01月06日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E:企业品牌策划设计、环境空间展览展示设计、引导标识设计、互联网网站建设开发及运维服务所涉及场所的相关环境管理活动</w:t>
            </w:r>
          </w:p>
          <w:p>
            <w:pPr>
              <w:tabs>
                <w:tab w:val="left" w:pos="0"/>
              </w:tabs>
              <w:jc w:val="left"/>
              <w:rPr>
                <w:rFonts w:hint="eastAsia"/>
                <w:sz w:val="21"/>
                <w:szCs w:val="21"/>
              </w:rPr>
            </w:pPr>
            <w:r>
              <w:rPr>
                <w:rFonts w:hint="eastAsia"/>
                <w:sz w:val="21"/>
                <w:szCs w:val="21"/>
              </w:rPr>
              <w:t>S:企业品牌策划设计、环境空间展览展示设计、引导标识设计、互联网网站建设开发及运维服务所涉及场所的相关职业健康安全管理活动</w:t>
            </w:r>
          </w:p>
          <w:p>
            <w:pPr>
              <w:tabs>
                <w:tab w:val="left" w:pos="0"/>
              </w:tabs>
              <w:jc w:val="left"/>
              <w:rPr>
                <w:rFonts w:hint="eastAsia"/>
                <w:sz w:val="21"/>
                <w:szCs w:val="21"/>
              </w:rPr>
            </w:pPr>
            <w:r>
              <w:rPr>
                <w:rFonts w:hint="eastAsia"/>
                <w:sz w:val="21"/>
                <w:szCs w:val="21"/>
              </w:rPr>
              <w:t>Q:企业品牌策划设计、环境空间展览展示设计、引导标识设计、互联网网站建设开发及运维服务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E:33.02.01,33.03.02,34.05.00,35.04.02,S:33.02.01,33.03.02,34.05.00,35.04.02,Q:33.02.01,33.03.02,34.05.00,35.04.02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2024-N1QMS-1456075</w:t>
            </w:r>
          </w:p>
        </w:tc>
        <w:tc>
          <w:tcPr>
            <w:tcW w:w="3684" w:type="dxa"/>
            <w:gridSpan w:val="9"/>
            <w:vAlign w:val="center"/>
          </w:tcPr>
          <w:p w:rsidR="00E12FF5">
            <w:pPr>
              <w:jc w:val="center"/>
              <w:rPr>
                <w:sz w:val="21"/>
                <w:szCs w:val="21"/>
              </w:rPr>
            </w:pPr>
            <w:r>
              <w:t>33.02.01,33.03.02,35.04.02</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33.02.01,33.03.02,34.05.00,35.04.02</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33.02.01,33.03.02,34.05.00,35.04.02</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2025-N1QMS-1304545</w:t>
            </w:r>
          </w:p>
        </w:tc>
        <w:tc>
          <w:tcPr>
            <w:tcW w:w="3684" w:type="dxa"/>
            <w:gridSpan w:val="9"/>
            <w:vAlign w:val="center"/>
          </w:tcPr>
          <w:p>
            <w:pPr>
              <w:jc w:val="center"/>
            </w:pPr>
            <w:r>
              <w:t>34.05.00,35.04.02</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2025-N1EMS-1304545</w:t>
            </w:r>
          </w:p>
        </w:tc>
        <w:tc>
          <w:tcPr>
            <w:tcW w:w="3684" w:type="dxa"/>
            <w:gridSpan w:val="9"/>
            <w:vAlign w:val="center"/>
          </w:tcPr>
          <w:p>
            <w:pPr>
              <w:jc w:val="center"/>
            </w:pPr>
            <w:r>
              <w:t>33.02.01,33.03.02,34.05.00,35.04.02</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2025-N1OHSMS-1304545</w:t>
            </w:r>
          </w:p>
        </w:tc>
        <w:tc>
          <w:tcPr>
            <w:tcW w:w="3684" w:type="dxa"/>
            <w:gridSpan w:val="9"/>
            <w:vAlign w:val="center"/>
          </w:tcPr>
          <w:p>
            <w:pPr>
              <w:jc w:val="center"/>
            </w:pPr>
            <w:r>
              <w:t>33.02.01,33.03.02,34.05.00,35.04.02</w:t>
            </w:r>
          </w:p>
        </w:tc>
        <w:tc>
          <w:tcPr>
            <w:tcW w:w="1560" w:type="dxa"/>
            <w:gridSpan w:val="2"/>
            <w:vAlign w:val="center"/>
          </w:tcPr>
          <w:p>
            <w:pPr>
              <w:jc w:val="center"/>
            </w:pPr>
            <w:r>
              <w:t>15910954807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郭旻-中国铁道旅行社集团有限公司北京京铁列车服务有限公司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4117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458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