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长春香农科技有限公司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■第1次监审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孙妍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2025年10月30日上午至2025年10月31日下午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孙妍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26582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