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11384-2024-QEO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安徽寓泽水利科技有限公司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91341700MA2UEQT260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安徽寓泽水利科技有限公司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安徽省池州市站前区站前路池州世纪广场1幢408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安徽省池州经济技术开发区金安园区（安徽省池州市经济技术开发区清溪大道223号办公楼2层）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E:液压坝、防洪门及其配套设备的销售所涉及场所的相关环境管理活动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O:液压坝、防洪门及其配套设备的销售所涉及场所的相关职业健康安全管理活动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Q:液压坝、防洪门及其配套设备的销售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安徽寓泽水利科技有限公司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安徽省池州市站前区站前路池州世纪广场1幢408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安徽省池州经济技术开发区金安园区（安徽省池州市经济技术开发区清溪大道223号办公楼2层）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E:液压坝、防洪门及其配套设备的销售所涉及场所的相关环境管理活动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O:液压坝、防洪门及其配套设备的销售所涉及场所的相关职业健康安全管理活动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Q:液压坝、防洪门及其配套设备的销售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262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