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178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廊坊亿源新能源科技有限责任公司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9181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18.02.05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2025-N1EMS-1285375</w:t>
            </w:r>
          </w:p>
        </w:tc>
        <w:tc>
          <w:tcPr>
            <w:tcW w:w="3145" w:type="dxa"/>
            <w:vAlign w:val="center"/>
          </w:tcPr>
          <w:p w:rsidR="001F0A49">
            <w:pPr>
              <w:spacing w:line="360" w:lineRule="auto"/>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18.02.05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E:商用低环境温度空气源热泵（冷水）机组的生产所涉及场所的相关环境管理活动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O:商用低环境温度空气源热泵（冷水）机组的生产所涉及场所的相关职业健康安全管理活动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Q:商用低环境温度空气源热泵（冷水）机组的生产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河北省廊坊市霸州市康仙庄乡康仙庄村</w:t>
      </w:r>
    </w:p>
    <w:p w:rsidR="001F0A49">
      <w:pPr>
        <w:spacing w:line="360" w:lineRule="auto"/>
        <w:ind w:firstLine="420" w:firstLineChars="200"/>
      </w:pPr>
      <w:r>
        <w:rPr>
          <w:rFonts w:hint="eastAsia"/>
        </w:rPr>
        <w:t>办公地址：</w:t>
      </w:r>
      <w:r>
        <w:rPr>
          <w:rFonts w:hint="eastAsia"/>
        </w:rPr>
        <w:t>河北省廊坊市霸州市康仙庄乡康仙庄村</w:t>
      </w:r>
    </w:p>
    <w:p w:rsidR="001F0A49">
      <w:pPr>
        <w:spacing w:line="360" w:lineRule="auto"/>
        <w:ind w:firstLine="420" w:firstLineChars="200"/>
      </w:pPr>
      <w:r>
        <w:rPr>
          <w:rFonts w:hint="eastAsia"/>
        </w:rPr>
        <w:t>经营地址：</w:t>
      </w:r>
      <w:bookmarkStart w:id="12" w:name="生产地址"/>
      <w:bookmarkEnd w:id="12"/>
      <w:r>
        <w:rPr>
          <w:rFonts w:hint="eastAsia"/>
        </w:rPr>
        <w:t>河北省廊坊市霸州市康仙庄乡康仙庄村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廊坊亿源新能源科技有限责任公司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584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