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11291-2024-QEO</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石家庄高新建设投资有限公司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郭增辉</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9113010155187031XA</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石家庄高新建设投资有限公司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 xml:space="preserve"> 石家庄高新区学苑路99号国际生命科学创新园4楼410室</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石家庄高新区学苑路99号国际生命科学创新园4楼410室</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E:工程项目管理所涉及场所的相关环境管理活动</w:t>
            </w:r>
          </w:p>
          <w:p>
            <w:pPr>
              <w:snapToGrid w:val="0"/>
              <w:spacing w:line="0" w:lineRule="atLeast"/>
              <w:jc w:val="left"/>
              <w:rPr>
                <w:rFonts w:hint="eastAsia"/>
                <w:sz w:val="21"/>
                <w:szCs w:val="21"/>
                <w:lang w:val="en-GB"/>
              </w:rPr>
            </w:pPr>
            <w:r>
              <w:rPr>
                <w:rFonts w:hint="eastAsia"/>
                <w:sz w:val="21"/>
                <w:szCs w:val="21"/>
                <w:lang w:val="en-GB"/>
              </w:rPr>
              <w:t>O:工程项目管理所涉及场所的相关职业健康安全管理活动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Q:工程项目管理</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石家庄高新建设投资有限公司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 xml:space="preserve"> 石家庄高新区学苑路99号国际生命科学创新园4楼410室</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石家庄高新区学苑路99号国际生命科学创新园4楼410室</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E:工程项目管理所涉及场所的相关环境管理活动</w:t>
            </w:r>
          </w:p>
          <w:p>
            <w:pPr>
              <w:snapToGrid w:val="0"/>
              <w:spacing w:line="0" w:lineRule="atLeast"/>
              <w:jc w:val="left"/>
              <w:rPr>
                <w:rFonts w:hint="eastAsia"/>
                <w:sz w:val="21"/>
                <w:szCs w:val="21"/>
                <w:lang w:val="en-GB"/>
              </w:rPr>
            </w:pPr>
            <w:r>
              <w:rPr>
                <w:rFonts w:hint="eastAsia"/>
                <w:sz w:val="21"/>
                <w:szCs w:val="21"/>
                <w:lang w:val="en-GB"/>
              </w:rPr>
              <w:t>O:工程项目管理所涉及场所的相关职业健康安全管理活动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Q:工程项目管理</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06805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