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11305-2024-EO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邢台海裕锂能电池设备有限公司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张丽</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91130501673222070E</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E:认可,O:认可,Q:认可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24001-2016/ISO14001:2015、GB/T45001-2020 / ISO45001：2018、GB/T19001-2016/ISO9001:2015</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邢台海裕锂能电池设备有限公司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 xml:space="preserve"> 邢台市开发区金祥路668号</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邢台市开发区金祥路668号</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E:电池极片轧机的设计开发和生产所涉及场所的相关环境管理活动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O:电池极片轧机的设计开发和生产所涉及场所的相关职业健康安全管理活动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Q:电池极片轧机的设计开发和生产</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邢台海裕锂能电池设备有限公司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 xml:space="preserve"> 邢台市开发区金祥路668号</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邢台市开发区金祥路668号</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E:电池极片轧机的设计开发和生产所涉及场所的相关环境管理活动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O:电池极片轧机的设计开发和生产所涉及场所的相关职业健康安全管理活动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Q:电池极片轧机的设计开发和生产</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06709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