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20824-2024-EOEnMS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湖北洪伯车辆有限公司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914206255627285975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E:未认可,EnMS:未认可,O:未认可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湖北洪伯车辆有限公司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湖北省谷城经济开发区北河大道1号（住所申报）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湖北省谷城经济开发区北河大道1号（住所申报）</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E:转向节及转向节臂等锻件制造所涉及场所的相关环境管理活动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EnMS:转向节及转向节臂等锻件制造所涉及的能源管理活动</w:t>
            </w:r>
          </w:p>
          <w:p>
            <w:pPr>
              <w:snapToGrid w:val="0"/>
              <w:spacing w:line="0" w:lineRule="atLeast"/>
              <w:jc w:val="left"/>
              <w:rPr>
                <w:rFonts w:hint="eastAsia"/>
                <w:sz w:val="21"/>
                <w:szCs w:val="21"/>
                <w:lang w:val="en-GB"/>
              </w:rPr>
            </w:pPr>
            <w:r>
              <w:rPr>
                <w:rFonts w:hint="eastAsia"/>
                <w:sz w:val="21"/>
                <w:szCs w:val="21"/>
                <w:lang w:val="en-GB"/>
              </w:rPr>
              <w:t>O:转向节及转向节臂等锻件制造所涉及场所的相关职业健康安全管理活动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湖北洪伯车辆有限公司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湖北省谷城经济开发区北河大道1号（住所申报）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湖北省谷城经济开发区北河大道1号（住所申报）</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E:转向节及转向节臂等锻件制造所涉及场所的相关环境管理活动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EnMS:转向节及转向节臂等锻件制造所涉及的能源管理活动</w:t>
            </w:r>
          </w:p>
          <w:p>
            <w:pPr>
              <w:snapToGrid w:val="0"/>
              <w:spacing w:line="0" w:lineRule="atLeast"/>
              <w:jc w:val="left"/>
              <w:rPr>
                <w:rFonts w:hint="eastAsia"/>
                <w:sz w:val="21"/>
                <w:szCs w:val="21"/>
                <w:lang w:val="en-GB"/>
              </w:rPr>
            </w:pPr>
            <w:r>
              <w:rPr>
                <w:rFonts w:hint="eastAsia"/>
                <w:sz w:val="21"/>
                <w:szCs w:val="21"/>
                <w:lang w:val="en-GB"/>
              </w:rPr>
              <w:t>O:转向节及转向节臂等锻件制造所涉及场所的相关职业健康安全管理活动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945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