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11177-2024-QEO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20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成都龙源新材料科技有限公司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陈伟、杨庆</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678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2024-N1OHSMS-1265256</w:t>
            </w:r>
          </w:p>
        </w:tc>
        <w:tc>
          <w:tcPr>
            <w:tcW w:w="3145" w:type="dxa"/>
            <w:vAlign w:val="center"/>
          </w:tcPr>
          <w:p w:rsidR="00142F5C" w:rsidP="00772D33">
            <w:pPr>
              <w:spacing w:line="360" w:lineRule="exact"/>
              <w:jc w:val="center"/>
              <w:rPr>
                <w:szCs w:val="21"/>
              </w:rPr>
            </w:pPr>
            <w:r>
              <w:t>14.02.02,14.02.04,29.12.00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2024-N1EMS-2265256</w:t>
            </w:r>
          </w:p>
        </w:tc>
        <w:tc>
          <w:tcPr>
            <w:tcW w:w="3145" w:type="dxa"/>
            <w:vAlign w:val="center"/>
          </w:tcPr>
          <w:p w:rsidR="001F0A49">
            <w:pPr>
              <w:spacing w:line="360" w:lineRule="auto"/>
              <w:jc w:val="center"/>
            </w:pPr>
            <w:r>
              <w:t>14.02.01,14.02.02,14.02.03,14.02.04,29.12.00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14.02.01,14.02.02,14.02.04,29.12.00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杨庆</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2024-N1OHSMS-1263525</w:t>
            </w:r>
          </w:p>
        </w:tc>
        <w:tc>
          <w:tcPr>
            <w:tcW w:w="3145" w:type="dxa"/>
            <w:vAlign w:val="center"/>
          </w:tcPr>
          <w:p>
            <w:pPr>
              <w:jc w:val="center"/>
            </w:pPr>
            <w:r>
              <w:t>14.02.01,14.02.02,14.02.03,14.02.04,29.12.00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杨庆</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2025-N1EMS-2263525</w:t>
            </w:r>
          </w:p>
        </w:tc>
        <w:tc>
          <w:tcPr>
            <w:tcW w:w="3145" w:type="dxa"/>
            <w:vAlign w:val="center"/>
          </w:tcPr>
          <w:p>
            <w:pPr>
              <w:jc w:val="center"/>
            </w:pPr>
            <w:r>
              <w:t>14.02.01,14.02.02,14.02.03,14.02.04,29.12.00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杨庆</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2023-N1QMS-2263525</w:t>
            </w:r>
          </w:p>
        </w:tc>
        <w:tc>
          <w:tcPr>
            <w:tcW w:w="3145" w:type="dxa"/>
            <w:vAlign w:val="center"/>
          </w:tcPr>
          <w:p>
            <w:pPr>
              <w:jc w:val="center"/>
            </w:pPr>
            <w:r>
              <w:t>14.02.01,14.02.02,14.02.03,14.02.04,29.12.00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2025年11月01日上午至2025年11月01日下午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E:聚氨酯制品生产、销售所涉及场所的相关环境管理活动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O:聚氨酯制品生产、销售所涉及场所的相关职业健康安全管理活动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Q:聚氨酯制品生产、销售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中国（四川）自由贸易试验区成都市双流区西南航空港经济开发区空港二路219号</w:t>
      </w:r>
    </w:p>
    <w:p w:rsidR="001F0A49">
      <w:pPr>
        <w:spacing w:line="360" w:lineRule="auto"/>
        <w:ind w:firstLine="420" w:firstLineChars="200"/>
      </w:pPr>
      <w:r>
        <w:rPr>
          <w:rFonts w:hint="eastAsia"/>
        </w:rPr>
        <w:t>办公地址：</w:t>
      </w:r>
      <w:r>
        <w:rPr>
          <w:rFonts w:hint="eastAsia"/>
        </w:rPr>
        <w:t>中国（四川）自由贸易试验区成都市双流区西南航空港经济开发区空港二路219号4号厂房部分和办公楼2楼</w:t>
      </w:r>
    </w:p>
    <w:p w:rsidR="001F0A49">
      <w:pPr>
        <w:spacing w:line="360" w:lineRule="auto"/>
        <w:ind w:firstLine="420" w:firstLineChars="200"/>
      </w:pPr>
      <w:r>
        <w:rPr>
          <w:rFonts w:hint="eastAsia"/>
        </w:rPr>
        <w:t>经营地址：</w:t>
      </w:r>
      <w:bookmarkStart w:id="12" w:name="生产地址"/>
      <w:bookmarkEnd w:id="12"/>
      <w:r>
        <w:rPr>
          <w:rFonts w:hint="eastAsia"/>
        </w:rPr>
        <w:t>中国（四川）自由贸易试验区成都市双流区西南航空港经济开发区空港二路219号4号厂房部分和办公楼2楼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成都龙源新材料科技有限公司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陈伟、杨庆</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503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