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11146-2024-QEO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贵州亿格科技发展有限公司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91520198MA6JBLAX67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贵州亿格科技发展有限公司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贵州省贵阳市贵阳高新区长岭街道都匀路34号通号科技广场4#楼1-13-11</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贵州省贵阳市贵阳高新区长岭街道都匀路34号通号科技广场4#楼1-13-11</w:t>
            </w:r>
          </w:p>
          <w:p w14:paraId="742A3621">
            <w:pPr>
              <w:snapToGrid w:val="0"/>
              <w:spacing w:line="0" w:lineRule="atLeast"/>
              <w:jc w:val="left"/>
              <w:rPr>
                <w:rFonts w:hint="eastAsia"/>
                <w:sz w:val="21"/>
                <w:szCs w:val="21"/>
              </w:rPr>
            </w:pPr>
            <w:r>
              <w:rPr>
                <w:rFonts w:hint="eastAsia"/>
                <w:sz w:val="21"/>
                <w:szCs w:val="21"/>
              </w:rPr>
              <w:t>贵州省公路水路安全畅通与应急处置工程厅大楼应急指挥场所建设标段运维保障服务项目 贵州省贵阳市交岩区延安西交通运输厅</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E:信息系统集成、信息系统技术服务所涉及场所的相关环境管理活动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O:信息系统集成、信息系统技术服务所涉及场所的相关职业健康安全管理活动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Q:信息系统集成、信息系统技术服务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贵州亿格科技发展有限公司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贵州省贵阳市贵阳高新区长岭街道都匀路34号通号科技广场4#楼1-13-11</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贵州省贵阳市贵阳高新区长岭街道都匀路34号通号科技广场4#楼1-13-11</w:t>
            </w:r>
          </w:p>
          <w:p w14:paraId="19A06FCA">
            <w:pPr>
              <w:snapToGrid w:val="0"/>
              <w:spacing w:line="0" w:lineRule="atLeast"/>
              <w:jc w:val="left"/>
              <w:rPr>
                <w:rFonts w:hint="eastAsia"/>
                <w:sz w:val="21"/>
                <w:szCs w:val="21"/>
              </w:rPr>
            </w:pPr>
            <w:r>
              <w:rPr>
                <w:rFonts w:hint="eastAsia"/>
                <w:sz w:val="21"/>
                <w:szCs w:val="21"/>
              </w:rPr>
              <w:t>贵州省公路水路安全畅通与应急处置工程厅大楼应急指挥场所建设标段运维保障服务项目 贵州省贵阳市交岩区延安西交通运输厅</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E:信息系统集成、信息系统技术服务所涉及场所的相关环境管理活动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O:信息系统集成、信息系统技术服务所涉及场所的相关职业健康安全管理活动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Q:信息系统集成、信息系统技术服务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857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