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20746-2024-QEO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浙江印相会计师事务所有限公司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卢晶</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913301837161439631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浙江印相会计师事务所有限公司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浙江省杭州市富阳区富春街道恩波大道677号（金富春大厦5-7楼）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浙江省杭州市富阳区富春街道恩波大道677号（金富春大厦5-7楼）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E:财务审计、注册资本验证、绩效评价、财务管理咨询及其他会计服务所涉及场所的相关环境管理活动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O:财务审计、注册资本验证、绩效评价、财务管理咨询及其他会计服务所涉及场所的相关职业健康安全管理活动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Q:财务审计、注册资本验证、绩效评价、财务管理咨询及其他会计服务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浙江印相会计师事务所有限公司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浙江省杭州市富阳区富春街道恩波大道677号（金富春大厦5-7楼）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浙江省杭州市富阳区富春街道恩波大道677号（金富春大厦5-7楼）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E:财务审计、注册资本验证、绩效评价、财务管理咨询及其他会计服务所涉及场所的相关环境管理活动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O:财务审计、注册资本验证、绩效评价、财务管理咨询及其他会计服务所涉及场所的相关职业健康安全管理活动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Q:财务审计、注册资本验证、绩效评价、财务管理咨询及其他会计服务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125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