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10697-2024-QEO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北京中建一局智采供应链有限公司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岳艳玲</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91110111MACKC0299D</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北京中建一局智采供应链有限公司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北京市房山区西潞街道长虹西路73号1幢2层212</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北京市海淀区三里河路17号甘家口大厦1501、1513</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E:建筑材料、金属制品、安防设备的销售；B2B大宗商品交易平台软件开发所涉及场所的相关环境管理活动</w:t>
            </w:r>
          </w:p>
          <w:p>
            <w:pPr>
              <w:snapToGrid w:val="0"/>
              <w:spacing w:line="0" w:lineRule="atLeast"/>
              <w:jc w:val="left"/>
              <w:rPr>
                <w:rFonts w:hint="eastAsia"/>
                <w:sz w:val="21"/>
                <w:szCs w:val="21"/>
                <w:lang w:val="en-GB"/>
              </w:rPr>
            </w:pPr>
            <w:r>
              <w:rPr>
                <w:rFonts w:hint="eastAsia"/>
                <w:sz w:val="21"/>
                <w:szCs w:val="21"/>
                <w:lang w:val="en-GB"/>
              </w:rPr>
              <w:t>O:建筑材料、金属制品、安防设备的销售；B2B大宗商品交易平台软件开发所涉及场所的相关职业健康安全管理活动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Q:建筑材料、金属制品、安防设备的销售；B2B大宗商品交易平台软件开发</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北京中建一局智采供应链有限公司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北京市房山区西潞街道长虹西路73号1幢2层212</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北京市海淀区三里河路17号甘家口大厦1501、1513</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E:建筑材料、金属制品、安防设备的销售；B2B大宗商品交易平台软件开发所涉及场所的相关环境管理活动</w:t>
            </w:r>
          </w:p>
          <w:p>
            <w:pPr>
              <w:snapToGrid w:val="0"/>
              <w:spacing w:line="0" w:lineRule="atLeast"/>
              <w:jc w:val="left"/>
              <w:rPr>
                <w:rFonts w:hint="eastAsia"/>
                <w:sz w:val="21"/>
                <w:szCs w:val="21"/>
                <w:lang w:val="en-GB"/>
              </w:rPr>
            </w:pPr>
            <w:r>
              <w:rPr>
                <w:rFonts w:hint="eastAsia"/>
                <w:sz w:val="21"/>
                <w:szCs w:val="21"/>
                <w:lang w:val="en-GB"/>
              </w:rPr>
              <w:t>O:建筑材料、金属制品、安防设备的销售；B2B大宗商品交易平台软件开发所涉及场所的相关职业健康安全管理活动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Q:建筑材料、金属制品、安防设备的销售；B2B大宗商品交易平台软件开发</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87901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