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20828-2024-EcEO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江西省康浩建设工程有限公司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91360125MA39RRWC3L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江西省康浩建设工程有限公司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江西省南昌市东湖区豫章路1号红三楼313A室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江西省南昌市西湖区洪城路778号星河国际1723室(第17层)</w:t>
            </w:r>
          </w:p>
          <w:p w:rsidR="002460AB">
            <w:pPr>
              <w:snapToGrid w:val="0"/>
              <w:spacing w:line="0" w:lineRule="atLeast"/>
              <w:jc w:val="left"/>
              <w:rPr>
                <w:sz w:val="21"/>
                <w:szCs w:val="21"/>
              </w:rPr>
            </w:pPr>
            <w:r>
              <w:rPr>
                <w:rFonts w:hint="eastAsia"/>
                <w:sz w:val="21"/>
                <w:szCs w:val="21"/>
              </w:rPr>
              <w:t>江西华电萍乡湘东绿宝科技5.9MW屋顶分布式光伏发电项目 江西省萍乡市湘东区江西岳峰环保新材有限公司西南侧170米</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E:资质等级范围内的电力工程的施工及所涉及场所的相关环境管理活动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O:资质等级范围内的电力工程的施工及所涉及场所的相关职业健康安全管理活动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Q:资质等级范围内的电力工程的施工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江西省康浩建设工程有限公司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江西省南昌市东湖区豫章路1号红三楼313A室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江西省南昌市西湖区洪城路778号星河国际1723室(第17层)</w:t>
            </w:r>
          </w:p>
          <w:p w:rsidR="002460AB">
            <w:pPr>
              <w:snapToGrid w:val="0"/>
              <w:spacing w:line="0" w:lineRule="atLeast"/>
              <w:jc w:val="left"/>
              <w:rPr>
                <w:sz w:val="21"/>
                <w:szCs w:val="21"/>
              </w:rPr>
            </w:pPr>
            <w:r>
              <w:rPr>
                <w:rFonts w:hint="eastAsia"/>
                <w:sz w:val="21"/>
                <w:szCs w:val="21"/>
              </w:rPr>
              <w:t>江西华电萍乡湘东绿宝科技5.9MW屋顶分布式光伏发电项目 江西省萍乡市湘东区江西岳峰环保新材有限公司西南侧170米</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E:资质等级范围内的电力工程的施工及所涉及场所的相关环境管理活动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O:资质等级范围内的电力工程的施工及所涉及场所的相关职业健康安全管理活动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Q:资质等级范围内的电力工程的施工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635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