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10944-2024-ECEO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山西江淼水利工程有限公司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周文廷</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91140800MA0GUYW79C</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E:未认可,O:未认可,EC:未认可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24001-2016/ISO14001:2015、GB/T45001-2020 / ISO45001：2018、GB/T19001-2016/ISO9001:2015和GB/T50430-2017</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山西江淼水利工程有限公司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山西省运城市盐湖区河东街今日国际商场购物广场A2507</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运城市盐湖区人民北路星河商务大厦602室、610室、611室</w:t>
            </w:r>
          </w:p>
          <w:p w14:paraId="742A3621">
            <w:pPr>
              <w:snapToGrid w:val="0"/>
              <w:spacing w:line="0" w:lineRule="atLeast"/>
              <w:jc w:val="left"/>
              <w:rPr>
                <w:rFonts w:hint="eastAsia"/>
                <w:sz w:val="21"/>
                <w:szCs w:val="21"/>
              </w:rPr>
            </w:pPr>
            <w:r>
              <w:rPr>
                <w:rFonts w:hint="eastAsia"/>
                <w:sz w:val="21"/>
                <w:szCs w:val="21"/>
              </w:rPr>
              <w:t>曹川镇刘家岭村节水灌溉项目（在建 曹川镇刘家岭村</w:t>
            </w: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E:资质范围内水利水电工程承包所涉及场所的相关环境管理活动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O:资质范围内水利水电工程承包所涉及场所的相关职业健康安全管理活动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Q:资质范围内水利水电工程承包</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山西江淼水利工程有限公司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山西省运城市盐湖区河东街今日国际商场购物广场A2507</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运城市盐湖区人民北路星河商务大厦602室、610室、611室</w:t>
            </w:r>
          </w:p>
          <w:p w14:paraId="19A06FCA">
            <w:pPr>
              <w:snapToGrid w:val="0"/>
              <w:spacing w:line="0" w:lineRule="atLeast"/>
              <w:jc w:val="left"/>
              <w:rPr>
                <w:rFonts w:hint="eastAsia"/>
                <w:sz w:val="21"/>
                <w:szCs w:val="21"/>
              </w:rPr>
            </w:pPr>
            <w:r>
              <w:rPr>
                <w:rFonts w:hint="eastAsia"/>
                <w:sz w:val="21"/>
                <w:szCs w:val="21"/>
              </w:rPr>
              <w:t>曹川镇刘家岭村节水灌溉项目（在建 曹川镇刘家岭村</w:t>
            </w: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E:资质范围内水利水电工程承包所涉及场所的相关环境管理活动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O:资质范围内水利水电工程承包所涉及场所的相关职业健康安全管理活动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Q:资质范围内水利水电工程承包</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73193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