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10696-2024-QEO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215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陕西金黎明环境科技集团有限公司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李宝花</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李宝花、解苗苗</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99277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李宝花</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2022-N1EMS-2239141</w:t>
            </w:r>
          </w:p>
        </w:tc>
        <w:tc>
          <w:tcPr>
            <w:tcW w:w="3145" w:type="dxa"/>
            <w:vAlign w:val="center"/>
          </w:tcPr>
          <w:p w:rsidR="001F0A49">
            <w:pPr>
              <w:spacing w:line="360" w:lineRule="auto"/>
              <w:jc w:val="center"/>
            </w:pPr>
            <w:bookmarkStart w:id="4" w:name="_GoBack"/>
            <w:bookmarkEnd w:id="4"/>
            <w:r>
              <w:t>17.07.02,18.02.01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李宝花</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2024-N1OHSMS-2239141</w:t>
            </w:r>
          </w:p>
        </w:tc>
        <w:tc>
          <w:tcPr>
            <w:tcW w:w="3145" w:type="dxa"/>
            <w:vAlign w:val="center"/>
          </w:tcPr>
          <w:p w:rsidR="001F0A49">
            <w:pPr>
              <w:spacing w:line="360" w:lineRule="auto"/>
              <w:jc w:val="center"/>
            </w:pPr>
            <w:r>
              <w:t>17.07.02,18.02.01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李宝花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2022-N1QMS-2239141</w:t>
            </w:r>
          </w:p>
        </w:tc>
        <w:tc>
          <w:tcPr>
            <w:tcW w:w="3145" w:type="dxa"/>
            <w:vAlign w:val="center"/>
          </w:tcPr>
          <w:p>
            <w:pPr>
              <w:jc w:val="center"/>
            </w:pPr>
            <w:r>
              <w:t>17.07.02,18.02.01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2024-N1EMS-1410938</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2024-N1OHSMS-1410938</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2024-N1QMS-1410938</w:t>
            </w:r>
          </w:p>
        </w:tc>
        <w:tc>
          <w:tcPr>
            <w:tcW w:w="3145" w:type="dxa"/>
            <w:vAlign w:val="center"/>
          </w:tcPr>
          <w:p>
            <w:pPr>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2025年06月30日上午至2025年07月01日下午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E:石油化工火炬系统成套设备的设计、生产制造；资质范围内压力容器设计、制造所涉及场所的相关环境管理活动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O:石油化工火炬系统成套设备的设计、生产制造；资质范围内压力容器设计、制造所涉及场所的相关职业健康安全管理活动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Q:石油化工火炬系统成套设备的设计、生产制造；资质范围内压力容器设计、制造</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陕西省咸阳市兴平市金城路西段</w:t>
      </w:r>
    </w:p>
    <w:p w:rsidR="001F0A49">
      <w:pPr>
        <w:spacing w:line="360" w:lineRule="auto"/>
        <w:ind w:firstLine="420" w:firstLineChars="200"/>
      </w:pPr>
      <w:r>
        <w:rPr>
          <w:rFonts w:hint="eastAsia"/>
        </w:rPr>
        <w:t>办公地址：</w:t>
      </w:r>
      <w:r>
        <w:rPr>
          <w:rFonts w:hint="eastAsia"/>
        </w:rPr>
        <w:t>陕西省咸阳市兴平市金城路西段</w:t>
      </w:r>
    </w:p>
    <w:p w:rsidR="001F0A49">
      <w:pPr>
        <w:spacing w:line="360" w:lineRule="auto"/>
        <w:ind w:firstLine="420" w:firstLineChars="200"/>
      </w:pPr>
      <w:r>
        <w:rPr>
          <w:rFonts w:hint="eastAsia"/>
        </w:rPr>
        <w:t>经营地址：</w:t>
      </w:r>
      <w:bookmarkStart w:id="13" w:name="生产地址"/>
      <w:bookmarkEnd w:id="13"/>
      <w:r>
        <w:rPr>
          <w:rFonts w:hint="eastAsia"/>
        </w:rPr>
        <w:t>陕西省咸阳市兴平市金城路西段</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陕西金黎明环境科技集团有限公司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李宝花</w:t>
      </w:r>
      <w:r>
        <w:rPr>
          <w:rFonts w:hint="eastAsia"/>
          <w:b/>
          <w:color w:val="auto"/>
          <w:kern w:val="2"/>
          <w:sz w:val="21"/>
          <w:lang w:val="en-GB"/>
        </w:rPr>
        <w:t xml:space="preserve">  </w:t>
      </w:r>
      <w:r>
        <w:rPr>
          <w:rFonts w:hint="eastAsia"/>
          <w:b/>
          <w:color w:val="auto"/>
          <w:kern w:val="2"/>
          <w:sz w:val="21"/>
          <w:lang w:val="en-GB"/>
        </w:rPr>
        <w:t>李宝花、解苗苗</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4957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