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20398-2024-QEO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河北孟洲防腐保温工程有限公司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91130925MAD8LDKC3Y</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河北孟洲防腐保温工程有限公司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河北省沧州市孟村回族自治县宋庄子乡腾千路与京沪高速交叉口南88米</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河北省沧州市孟村回族自治县宋庄子乡闫庄子村北腾千路与京沪高速交叉口南88米</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E:防腐保温管道及管件的制造，管件、法兰的加工（需资质许可的除外），钢管的销售所涉及场所的相关环境管理活动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O:防腐保温管道及管件的制造，管件、法兰的加工（需资质许可的除外），钢管的销售所涉及场所的相关职业健康安全管理活动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Q:防腐保温管道及管件的制造，管件、法兰的加工（需资质许可的除外），钢管的销售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河北孟洲防腐保温工程有限公司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河北省沧州市孟村回族自治县宋庄子乡腾千路与京沪高速交叉口南88米</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河北省沧州市孟村回族自治县宋庄子乡闫庄子村北腾千路与京沪高速交叉口南88米</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E:防腐保温管道及管件的制造，管件、法兰的加工（需资质许可的除外），钢管的销售所涉及场所的相关环境管理活动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O:防腐保温管道及管件的制造，管件、法兰的加工（需资质许可的除外），钢管的销售所涉及场所的相关职业健康安全管理活动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Q:防腐保温管道及管件的制造，管件、法兰的加工（需资质许可的除外），钢管的销售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798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