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10523-2024-QE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萧县汉兴再生资源有限公司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91341322MA8P3RJ997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萧县汉兴再生资源有限公司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安徽省宿州市萧县圣泉镇循环产业园扶贫基地七栋、九栋、十栋</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安徽省宿州市萧县圣泉镇循环产业园扶贫基地七栋、九栋、十栋</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E:再生资源（PET片）加工所涉及场所的相关环境管理活动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Q:再生资源（PET片）加工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萧县汉兴再生资源有限公司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安徽省宿州市萧县圣泉镇循环产业园扶贫基地七栋、九栋、十栋</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安徽省宿州市萧县圣泉镇循环产业园扶贫基地七栋、九栋、十栋</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E:再生资源（PET片）加工所涉及场所的相关环境管理活动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Q:再生资源（PET片）加工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3398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