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10416-2024-QEO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河北运得机械制造有限公司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赵艳敏</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91130182MA0F1N1C3G</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河北运得机械制造有限公司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河北省石家庄市藁城区石家庄经济技术开发区内族村中华路396号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河北省石家庄市藁城区石家庄经济技术开发区内族村中华路396号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E:资质范围内矿山机械设备的生产所涉及场所的相关环境管理活动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O:资质范围内矿山机械设备的生产所涉及场所的相关职业健康安全管理活动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Q:资质范围内矿山机械设备的生产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河北运得机械制造有限公司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河北省石家庄市藁城区石家庄经济技术开发区内族村中华路396号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河北省石家庄市藁城区石家庄经济技术开发区内族村中华路396号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E:资质范围内矿山机械设备的生产所涉及场所的相关环境管理活动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O:资质范围内矿山机械设备的生产所涉及场所的相关职业健康安全管理活动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Q:资质范围内矿山机械设备的生产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433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