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20238-2024-EOEnMS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河北华旭化工有限公司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91130182777707224C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E:未认可,EnMS:未认可,O:未认可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河北华旭化工有限公司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河北省石家庄市藁城区市府东路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河北省石家庄市藁城区市府东路216号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E:特戊酸、四甲基胍、左旋苯甘氨酸的生产所涉及场所的相关环境管理活动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EnMS:特戊酸、四甲基胍、左旋苯甘氨酸的生产所涉及的能源管理活动</w:t>
            </w:r>
          </w:p>
          <w:p>
            <w:pPr>
              <w:snapToGrid w:val="0"/>
              <w:spacing w:line="0" w:lineRule="atLeast"/>
              <w:jc w:val="left"/>
              <w:rPr>
                <w:rFonts w:hint="eastAsia"/>
                <w:sz w:val="21"/>
                <w:szCs w:val="21"/>
                <w:lang w:val="en-GB"/>
              </w:rPr>
            </w:pPr>
            <w:r>
              <w:rPr>
                <w:rFonts w:hint="eastAsia"/>
                <w:sz w:val="21"/>
                <w:szCs w:val="21"/>
                <w:lang w:val="en-GB"/>
              </w:rPr>
              <w:t>O:特戊酸、四甲基胍、左旋苯甘氨酸的生产所涉及场所的相关职业健康安全管理活动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河北华旭化工有限公司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河北省石家庄市藁城区市府东路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河北省石家庄市藁城区市府东路216号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E:特戊酸、四甲基胍、左旋苯甘氨酸的生产所涉及场所的相关环境管理活动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EnMS:特戊酸、四甲基胍、左旋苯甘氨酸的生产所涉及的能源管理活动</w:t>
            </w:r>
          </w:p>
          <w:p>
            <w:pPr>
              <w:snapToGrid w:val="0"/>
              <w:spacing w:line="0" w:lineRule="atLeast"/>
              <w:jc w:val="left"/>
              <w:rPr>
                <w:rFonts w:hint="eastAsia"/>
                <w:sz w:val="21"/>
                <w:szCs w:val="21"/>
                <w:lang w:val="en-GB"/>
              </w:rPr>
            </w:pPr>
            <w:r>
              <w:rPr>
                <w:rFonts w:hint="eastAsia"/>
                <w:sz w:val="21"/>
                <w:szCs w:val="21"/>
                <w:lang w:val="en-GB"/>
              </w:rPr>
              <w:t>O:特戊酸、四甲基胍、左旋苯甘氨酸的生产所涉及场所的相关职业健康安全管理活动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169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