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山东奥斯乐教育科技发展有限公司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15853058787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1929613126@qq.com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E:29.12.00,S:29.12.00,Q:29.12.00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4994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86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