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10830-2023-ECEO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北京宏海时代环境科技集团有限公司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鲍阳阳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91110117MACC4N5B6W</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北京宏海时代环境科技集团有限公司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北京市昌平区北七家镇宏福大厦1705室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北京市昌平区北七家镇宏福大厦1705室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E:建筑工程施工总承包二级及其所涉及场所的相关环境管理活动</w:t>
            </w:r>
          </w:p>
          <w:p>
            <w:pPr>
              <w:snapToGrid w:val="0"/>
              <w:spacing w:line="0" w:lineRule="atLeast"/>
              <w:jc w:val="left"/>
              <w:rPr>
                <w:rFonts w:hint="eastAsia"/>
                <w:sz w:val="21"/>
                <w:szCs w:val="21"/>
                <w:lang w:val="en-GB"/>
              </w:rPr>
            </w:pPr>
            <w:r>
              <w:rPr>
                <w:rFonts w:hint="eastAsia"/>
                <w:sz w:val="21"/>
                <w:szCs w:val="21"/>
                <w:lang w:val="en-GB"/>
              </w:rPr>
              <w:t>O:建筑工程施工总承包二级及其所涉及场所的相关职业健康安全管理活动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Q:建筑工程施工总承包二级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北京宏海时代环境科技集团有限公司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北京市昌平区北七家镇宏福大厦1705室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北京市昌平区北七家镇宏福大厦1705室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E:建筑工程施工总承包二级及其所涉及场所的相关环境管理活动</w:t>
            </w:r>
          </w:p>
          <w:p>
            <w:pPr>
              <w:snapToGrid w:val="0"/>
              <w:spacing w:line="0" w:lineRule="atLeast"/>
              <w:jc w:val="left"/>
              <w:rPr>
                <w:rFonts w:hint="eastAsia"/>
                <w:sz w:val="21"/>
                <w:szCs w:val="21"/>
                <w:lang w:val="en-GB"/>
              </w:rPr>
            </w:pPr>
            <w:r>
              <w:rPr>
                <w:rFonts w:hint="eastAsia"/>
                <w:sz w:val="21"/>
                <w:szCs w:val="21"/>
                <w:lang w:val="en-GB"/>
              </w:rPr>
              <w:t>O:建筑工程施工总承包二级及其所涉及场所的相关职业健康安全管理活动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Q:建筑工程施工总承包二级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153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