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10814-2023-QEO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353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四川省鑫立合石油科技有限公司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余家龙</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余家龙</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78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余家龙</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2023-N1QMS-2262293</w:t>
            </w:r>
          </w:p>
        </w:tc>
        <w:tc>
          <w:tcPr>
            <w:tcW w:w="3145" w:type="dxa"/>
            <w:vAlign w:val="center"/>
          </w:tcPr>
          <w:p w14:paraId="20FFAAA0">
            <w:pPr>
              <w:spacing w:line="360" w:lineRule="auto"/>
              <w:jc w:val="center"/>
            </w:pPr>
            <w:bookmarkStart w:id="4" w:name="_GoBack"/>
            <w:bookmarkEnd w:id="4"/>
            <w:r>
              <w:t>29.12.00</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余家龙</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2023-N1EMS-2262293</w:t>
            </w:r>
          </w:p>
        </w:tc>
        <w:tc>
          <w:tcPr>
            <w:tcW w:w="3145" w:type="dxa"/>
            <w:vAlign w:val="center"/>
          </w:tcPr>
          <w:p w14:paraId="05A8C599">
            <w:pPr>
              <w:spacing w:line="360" w:lineRule="auto"/>
              <w:jc w:val="center"/>
            </w:pPr>
            <w:r>
              <w:t>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29.12.00</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2025年05月21日上午至2025年05月23日上午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E:建筑材料、通信设备（资质范围内）、机械设备及配件、空气泵、电子产品、家用电器、办公设备的销售所涉及场所的相关环境管理活动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O:建筑材料、通信设备（资质范围内）、机械设备及配件、空气泵、电子产品、家用电器、办公设备的销售所涉及场所的相关职业健康安全管理活动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Q:建筑材料、通信设备（资质范围内）、机械设备及配件、空气泵、电子产品、家用电器、办公设备的销售</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中国（四川）自由贸易试验区成都高新区天府大道中段1388号1栋5楼594号</w:t>
      </w:r>
    </w:p>
    <w:p w14:paraId="1FCA9815">
      <w:pPr>
        <w:spacing w:line="360" w:lineRule="auto"/>
        <w:ind w:firstLine="420" w:firstLineChars="200"/>
      </w:pPr>
      <w:r>
        <w:rPr>
          <w:rFonts w:hint="eastAsia"/>
        </w:rPr>
        <w:t>办公地址：</w:t>
      </w:r>
      <w:r>
        <w:rPr>
          <w:rFonts w:hint="eastAsia"/>
        </w:rPr>
        <w:t>四川省成都市成华区府青路二段25号协信中心（写字楼）1803号</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四川省成都市成华区府青路二段25号协信中心（写字楼）1803号</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四川省鑫立合石油科技有限公司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349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