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20002-2024-QEOF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重庆今合商贸有限公司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冉景洲</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91500112075672717N</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重庆今合商贸有限公司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重庆市渝北区龙山路68号2幢( 华渝园区内201厂房一楼1-5号)(自主承诺)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重庆市渝北区龙山街道龙山路68号2幢(华渝园区内201 厂房一楼1-5 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E:水果、蔬菜、农副产品、许可范围内预包装食品的销售所涉及场所的相关环境管理活动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S:水果、蔬菜、农副产品、许可范围内预包装食品的销售所涉及场所的相关职业健康安全管理活动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Q:水果、蔬菜、农副产品、许可范围内预包装食品的销售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重庆今合商贸有限公司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重庆市渝北区龙山路68号2幢( 华渝园区内201厂房一楼1-5号)(自主承诺)</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重庆市渝北区龙山街道龙山路68号2幢(华渝园区内201 厂房一楼1-5 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E:水果、蔬菜、农副产品、许可范围内预包装食品的销售所涉及场所的相关环境管理活动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S:水果、蔬菜、农副产品、许可范围内预包装食品的销售所涉及场所的相关职业健康安全管理活动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Q:水果、蔬菜、农副产品、许可范围内预包装食品的销售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3817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