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0131-2020-Q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四川德立世科技有限公司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18.05.07</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杨庆</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四川德立世科技有限公司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成都市成华区东三环路二段龙潭工业园成济路18号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成都市成华区东三环路二段龙潭工业园成济路18号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马学洋</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18231875050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谢乐宽</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谢乐宽</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水处理设备及配件的生产及销售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18.05.07</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