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20181-2024-EnMS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浙江永上特材有限公司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杨子林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377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杨子林</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2025-N1EnMS-1059499</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2026年04月06日下午至2026年04月08日下午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EnMS:资质许可范围内压力管道管子（不锈钢焊接钢管、无缝钢管）（A、B）、压力管道管件（无缝管件（B1/B2））的生产所涉及的能源管理活动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浙江省丽水市遂昌县妙高街道金苍路88号</w:t>
      </w:r>
    </w:p>
    <w:p w:rsidR="00513B91">
      <w:pPr>
        <w:spacing w:line="360" w:lineRule="auto"/>
        <w:ind w:firstLine="420" w:firstLineChars="200"/>
      </w:pPr>
      <w:r>
        <w:rPr>
          <w:rFonts w:hint="eastAsia"/>
        </w:rPr>
        <w:t>办公地址：</w:t>
      </w:r>
      <w:r>
        <w:rPr>
          <w:rFonts w:hint="eastAsia"/>
        </w:rPr>
        <w:t>浙江省丽水市遂昌县金苍路88号</w:t>
      </w:r>
    </w:p>
    <w:p w:rsidR="00513B91">
      <w:pPr>
        <w:spacing w:line="360" w:lineRule="auto"/>
        <w:ind w:firstLine="420" w:firstLineChars="200"/>
      </w:pPr>
      <w:r>
        <w:rPr>
          <w:rFonts w:hint="eastAsia"/>
        </w:rPr>
        <w:t>经营地址：</w:t>
      </w:r>
      <w:bookmarkStart w:id="11" w:name="生产地址"/>
      <w:bookmarkEnd w:id="11"/>
      <w:r>
        <w:rPr>
          <w:rFonts w:hint="eastAsia"/>
        </w:rPr>
        <w:t>浙江省丽水市遂昌县金苍路88号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浙江永上特材有限公司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155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