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滦县山青新型建材有限责任公司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3"/>
          <w:rFonts w:hint="eastAsia" w:ascii="楷体" w:hAnsi="楷体" w:eastAsia="楷体"/>
          <w:b/>
          <w:sz w:val="36"/>
          <w:szCs w:val="36"/>
        </w:rPr>
        <w:t>www.china-isc.org.cn</w:t>
      </w:r>
      <w:r>
        <w:fldChar w:fldCharType="end"/>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Q:16.02.01</w:t>
            </w:r>
          </w:p>
          <w:p>
            <w:pPr>
              <w:spacing w:line="240" w:lineRule="exact"/>
              <w:jc w:val="center"/>
              <w:rPr>
                <w:b/>
                <w:color w:val="000000" w:themeColor="text1"/>
                <w:sz w:val="20"/>
                <w:szCs w:val="20"/>
              </w:rPr>
            </w:pPr>
            <w:r>
              <w:rPr>
                <w:b/>
                <w:color w:val="000000" w:themeColor="text1"/>
                <w:sz w:val="20"/>
                <w:szCs w:val="20"/>
              </w:rPr>
              <w:t>E:16.02.01</w:t>
            </w:r>
          </w:p>
          <w:p>
            <w:pPr>
              <w:spacing w:line="240" w:lineRule="exact"/>
              <w:jc w:val="center"/>
              <w:rPr>
                <w:b/>
                <w:color w:val="000000" w:themeColor="text1"/>
                <w:sz w:val="20"/>
                <w:szCs w:val="20"/>
              </w:rPr>
            </w:pPr>
            <w:r>
              <w:rPr>
                <w:b/>
                <w:color w:val="000000" w:themeColor="text1"/>
                <w:sz w:val="20"/>
                <w:szCs w:val="20"/>
              </w:rPr>
              <w:t>O:16.02.01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 19001-2016idtISO 9001:2015,E：GB/T 24001-2016idtISO 14001:2015,O：GB/T45001—2020/ISO 45001:2018</w:t>
      </w:r>
      <w:bookmarkEnd w:id="4"/>
      <w:r>
        <w:rPr>
          <w:rFonts w:hint="eastAsia" w:ascii="宋体" w:hAnsi="宋体"/>
          <w:b/>
          <w:color w:val="000000" w:themeColor="text1"/>
          <w:sz w:val="26"/>
          <w:szCs w:val="26"/>
        </w:rPr>
        <w:t>四、受审核方基本信息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滦县山青新型建材有限责任公司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河北省唐山市滦县九百户镇南赵庄子村</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063705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河北省唐山市滦县九百户镇南赵庄子村</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063705</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黄宗伟</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18033627645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田志强</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黄宗伟</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黄宗伟</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Q：预制钢筋混凝土构件生产(资质范围内除外)</w:t>
            </w:r>
          </w:p>
          <w:p>
            <w:pPr>
              <w:spacing w:line="320" w:lineRule="exact"/>
              <w:rPr>
                <w:rFonts w:ascii="宋体" w:hAnsi="宋体"/>
                <w:b/>
                <w:color w:val="000000" w:themeColor="text1"/>
                <w:sz w:val="20"/>
                <w:szCs w:val="20"/>
              </w:rPr>
            </w:pPr>
            <w:r>
              <w:rPr>
                <w:rFonts w:ascii="宋体" w:hAnsi="宋体"/>
                <w:b/>
                <w:color w:val="000000" w:themeColor="text1"/>
                <w:sz w:val="20"/>
                <w:szCs w:val="20"/>
              </w:rPr>
              <w:t>E：预制钢筋混凝土构件生产(资质范围内除外)所涉及的相关环境管理活动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O：预制钢筋混凝土构件生产(资质范围内除外)所涉及的相关职业健康安全管理活动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Q：16.02.01</w:t>
            </w:r>
          </w:p>
          <w:p>
            <w:pPr>
              <w:spacing w:line="320" w:lineRule="exact"/>
              <w:rPr>
                <w:rFonts w:ascii="宋体" w:hAnsi="宋体"/>
                <w:b/>
                <w:color w:val="000000" w:themeColor="text1"/>
                <w:sz w:val="20"/>
                <w:szCs w:val="20"/>
              </w:rPr>
            </w:pPr>
            <w:r>
              <w:rPr>
                <w:rFonts w:ascii="宋体" w:hAnsi="宋体"/>
                <w:b/>
                <w:color w:val="000000" w:themeColor="text1"/>
                <w:sz w:val="20"/>
                <w:szCs w:val="20"/>
              </w:rPr>
              <w:t>E：16.02.01</w:t>
            </w:r>
          </w:p>
          <w:p>
            <w:pPr>
              <w:spacing w:line="320" w:lineRule="exact"/>
              <w:rPr>
                <w:rFonts w:ascii="宋体" w:hAnsi="宋体"/>
                <w:b/>
                <w:color w:val="000000" w:themeColor="text1"/>
                <w:sz w:val="20"/>
                <w:szCs w:val="20"/>
              </w:rPr>
            </w:pPr>
            <w:r>
              <w:rPr>
                <w:rFonts w:ascii="宋体" w:hAnsi="宋体"/>
                <w:b/>
                <w:color w:val="000000" w:themeColor="text1"/>
                <w:sz w:val="20"/>
                <w:szCs w:val="20"/>
              </w:rPr>
              <w:t>O：16.02.01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2019-12-01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rPr>
              <w:t>高管层</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与管理层有关的质量、环境、安全职业健康安全管理活动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eastAsia="宋体" w:cs="Times New Roman"/>
                <w:sz w:val="21"/>
                <w:szCs w:val="21"/>
                <w:lang w:val="en-US" w:eastAsia="zh-CN"/>
              </w:rPr>
              <w:t>安全事务代表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职业健康安全事务代表的参与情况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Theme="minorEastAsia" w:hAnsiTheme="minorEastAsia" w:eastAsiaTheme="minorEastAsia" w:cstheme="minorEastAsia"/>
                <w:bCs w:val="0"/>
                <w:color w:val="auto"/>
                <w:spacing w:val="0"/>
                <w:kern w:val="2"/>
                <w:sz w:val="21"/>
                <w:szCs w:val="21"/>
                <w:lang w:val="en-US" w:eastAsia="zh-CN" w:bidi="ar-SA"/>
              </w:rPr>
              <w:t>供销部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与供方提供材料和服务、与客户有关的策划、实施、放行、交付等质量、环境、安全职业健康安全管理活动安全运行控制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eastAsia="宋体" w:cs="Times New Roman"/>
                <w:sz w:val="21"/>
                <w:szCs w:val="21"/>
                <w:lang w:val="en-US" w:eastAsia="zh-CN"/>
              </w:rPr>
              <w:t>办公室（含财务）</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目标管理方案,与管理过程控制；人力资源；文件记录控制；内外部信息交流过程；内审管理、与顾客有关的要求、评审变更及顾客满意，质量、环境职业健康安全管理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Cs w:val="21"/>
              </w:rPr>
            </w:pPr>
            <w:r>
              <w:rPr>
                <w:rFonts w:hint="eastAsia" w:asciiTheme="minorEastAsia" w:hAnsiTheme="minorEastAsia" w:eastAsiaTheme="minorEastAsia" w:cstheme="minorEastAsia"/>
                <w:bCs w:val="0"/>
                <w:color w:val="auto"/>
                <w:spacing w:val="0"/>
                <w:kern w:val="2"/>
                <w:sz w:val="21"/>
                <w:szCs w:val="21"/>
                <w:lang w:val="en-US" w:eastAsia="zh-CN" w:bidi="ar-SA"/>
              </w:rPr>
              <w:t>生技部（含质检）</w:t>
            </w:r>
          </w:p>
        </w:tc>
        <w:tc>
          <w:tcPr>
            <w:tcW w:w="6804" w:type="dxa"/>
            <w:vAlign w:val="top"/>
          </w:tcPr>
          <w:p>
            <w:pPr>
              <w:jc w:val="left"/>
              <w:rPr>
                <w:rFonts w:ascii="宋体" w:hAnsi="宋体"/>
                <w:b/>
                <w:color w:val="000000" w:themeColor="text1"/>
                <w:spacing w:val="-20"/>
                <w:szCs w:val="21"/>
                <w:u w:val="single"/>
              </w:rPr>
            </w:pPr>
            <w:r>
              <w:rPr>
                <w:rFonts w:hint="eastAsia" w:ascii="宋体" w:hAnsi="宋体" w:eastAsia="宋体" w:cs="Times New Roman"/>
                <w:sz w:val="21"/>
                <w:szCs w:val="21"/>
                <w:lang w:val="en-US" w:eastAsia="zh-CN"/>
              </w:rPr>
              <w:t>生产实现的策划、产品实现、基础设备、产品检测与放行，不合格的控制，统计与改进等，质量、环境、安全职业健康安全管理活动运行控制</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1"/>
        <w:tblW w:w="10259"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2"/>
        <w:gridCol w:w="6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852"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6407"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385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Q：预制钢筋混凝土构件生产(资质范围内除外)</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E：预制钢筋混凝土构件生产(资质范围内除外)所涉及的相关环境管理活动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O：预制钢筋混凝土构件生产(资质范围内除外)所涉及的相关职业健康安全管理活动</w:t>
            </w:r>
          </w:p>
          <w:p>
            <w:pPr>
              <w:rPr>
                <w:b/>
                <w:color w:val="000000" w:themeColor="text1"/>
                <w:sz w:val="20"/>
                <w:szCs w:val="20"/>
              </w:rPr>
            </w:pPr>
          </w:p>
        </w:tc>
        <w:tc>
          <w:tcPr>
            <w:tcW w:w="6407" w:type="dxa"/>
          </w:tcPr>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混凝土GB/T</w:t>
            </w:r>
            <w:r>
              <w:rPr>
                <w:rFonts w:hint="eastAsia" w:asciiTheme="minorEastAsia" w:hAnsiTheme="minorEastAsia" w:eastAsiaTheme="minorEastAsia" w:cstheme="minorEastAsia"/>
                <w:color w:val="auto"/>
                <w:sz w:val="21"/>
                <w:szCs w:val="21"/>
                <w:lang w:val="en-US" w:eastAsia="zh-CN"/>
              </w:rPr>
              <w:t>50081-2002</w:t>
            </w:r>
            <w:r>
              <w:rPr>
                <w:rFonts w:hint="eastAsia" w:asciiTheme="minorEastAsia" w:hAnsiTheme="minorEastAsia" w:eastAsiaTheme="minorEastAsia" w:cstheme="minorEastAsia"/>
                <w:color w:val="auto"/>
                <w:sz w:val="21"/>
                <w:szCs w:val="21"/>
              </w:rPr>
              <w:t xml:space="preserve"> </w:t>
            </w:r>
          </w:p>
          <w:p>
            <w:pPr>
              <w:pStyle w:val="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预拌混凝土GB/T 14902-2012 </w:t>
            </w:r>
          </w:p>
          <w:p>
            <w:pPr>
              <w:pStyle w:val="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混凝土质量控制标准</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GB50164</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混凝土强度检验评定标准</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GB/T 50107</w:t>
            </w:r>
          </w:p>
          <w:p>
            <w:pPr>
              <w:pStyle w:val="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主席令第6号</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中华人民共和国消防法</w:t>
            </w:r>
          </w:p>
          <w:p>
            <w:pPr>
              <w:pStyle w:val="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主席令第22号</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中华人民共和国环境保护法</w:t>
            </w:r>
          </w:p>
          <w:p>
            <w:pPr>
              <w:pStyle w:val="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主席令第70号</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中华人民共和国安全生产法</w:t>
            </w:r>
          </w:p>
          <w:p>
            <w:pPr>
              <w:pStyle w:val="2"/>
              <w:spacing w:line="360" w:lineRule="auto"/>
              <w:rPr>
                <w:rFonts w:hint="eastAsia" w:asciiTheme="minorEastAsia" w:hAnsiTheme="minorEastAsia" w:eastAsiaTheme="minorEastAsia" w:cstheme="minorEastAsia"/>
                <w:color w:val="auto"/>
                <w:sz w:val="21"/>
                <w:szCs w:val="21"/>
              </w:rPr>
            </w:pPr>
            <w:r>
              <w:rPr>
                <w:rFonts w:hint="default" w:ascii="Arial" w:hAnsi="Arial" w:cs="Arial" w:eastAsiaTheme="minorEastAsia"/>
                <w:color w:val="auto"/>
                <w:sz w:val="21"/>
                <w:szCs w:val="21"/>
              </w:rPr>
              <w:t>……</w:t>
            </w:r>
          </w:p>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体系运行开始的年月</w:t>
      </w:r>
      <w:bookmarkStart w:id="20" w:name="OLE_LINK1"/>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eastAsia="zh-CN"/>
        </w:rPr>
        <w:t>今</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spacing w:line="240" w:lineRule="atLeas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受审核方滦县山青新型建材有限责任公司成立于2017年11月14日，注册资本壹仟万元整，地址位于河北省唐山市滦县九百户镇南赵庄子村，面积约9767多平米，生产车间面积约1500平米，成品库房2240平米左右，办公生活区480平米左右，主要从事预制钢筋混凝土构件生产(资质范围内除外)。</w:t>
            </w:r>
          </w:p>
          <w:p>
            <w:pPr>
              <w:rPr>
                <w:rFonts w:hint="eastAsia" w:ascii="宋体" w:hAnsi="宋体" w:eastAsia="宋体" w:cs="宋体"/>
                <w:sz w:val="21"/>
                <w:szCs w:val="21"/>
              </w:rPr>
            </w:pPr>
            <w:r>
              <w:rPr>
                <w:rFonts w:hint="eastAsia" w:ascii="宋体" w:hAnsi="宋体" w:eastAsia="宋体" w:cs="宋体"/>
                <w:sz w:val="21"/>
                <w:szCs w:val="21"/>
              </w:rPr>
              <w:t>各种制度及规定基本建立。管理手册中对组织机构和职责进行了策划，形成了文件。组织机构的设置，职责、权限的分配基本明确，基本适宜，人力资源基本满足需求。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法律法规：公司经营应符合国家的法律法规要求。公司地处唐山市滦县，在环境方面应符合国家和本市的环境法律法规要求。 </w:t>
            </w:r>
          </w:p>
          <w:p>
            <w:pPr>
              <w:rPr>
                <w:rFonts w:hint="eastAsia" w:ascii="宋体" w:hAnsi="宋体" w:eastAsia="宋体" w:cs="宋体"/>
                <w:sz w:val="21"/>
                <w:szCs w:val="21"/>
              </w:rPr>
            </w:pPr>
            <w:r>
              <w:rPr>
                <w:rFonts w:hint="eastAsia" w:ascii="宋体" w:hAnsi="宋体" w:eastAsia="宋体" w:cs="宋体"/>
                <w:sz w:val="21"/>
                <w:szCs w:val="21"/>
              </w:rPr>
              <w:t>关注环境变化：公司管理层及相关部门将持续关注公司所处的环境变化，必要时通过评估风险和机遇，调整管理体系目标和指标或变更管理过程以适应这些变化或实现改进。</w:t>
            </w:r>
          </w:p>
          <w:p>
            <w:pPr>
              <w:pStyle w:val="2"/>
            </w:pPr>
            <w:r>
              <w:rPr>
                <w:rFonts w:hint="eastAsia" w:ascii="宋体" w:hAnsi="宋体" w:eastAsia="宋体" w:cs="宋体"/>
                <w:sz w:val="21"/>
                <w:szCs w:val="21"/>
              </w:rPr>
              <w:t>对这些内外部因素通过定期的网站获取、顾客沟通及定期（周总结会议、月中、月末总结会议）内部总结等方式进行监视和评审。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rPr>
                <w:rFonts w:hint="eastAsia" w:ascii="宋体" w:hAnsi="宋体" w:eastAsia="宋体" w:cs="宋体"/>
                <w:sz w:val="21"/>
                <w:szCs w:val="21"/>
              </w:rPr>
            </w:pPr>
            <w:r>
              <w:rPr>
                <w:rFonts w:hint="eastAsia" w:ascii="宋体" w:hAnsi="宋体" w:eastAsia="宋体" w:cs="宋体"/>
                <w:sz w:val="21"/>
                <w:szCs w:val="21"/>
              </w:rPr>
              <w:t>公司确定了与管理体系有关的相关方包括客户、供方、政府机构、供应商、内部员工、竞争对手等。</w:t>
            </w:r>
          </w:p>
          <w:p>
            <w:pPr>
              <w:rPr>
                <w:rFonts w:hint="eastAsia" w:ascii="宋体" w:hAnsi="宋体" w:eastAsia="宋体" w:cs="宋体"/>
                <w:sz w:val="21"/>
                <w:szCs w:val="21"/>
              </w:rPr>
            </w:pPr>
            <w:r>
              <w:rPr>
                <w:rFonts w:hint="eastAsia" w:ascii="宋体" w:hAnsi="宋体" w:eastAsia="宋体" w:cs="宋体"/>
                <w:sz w:val="21"/>
                <w:szCs w:val="21"/>
              </w:rPr>
              <w:t>相关方对企业的要求有：</w:t>
            </w:r>
          </w:p>
          <w:p>
            <w:pPr>
              <w:rPr>
                <w:rFonts w:hint="eastAsia" w:ascii="宋体" w:hAnsi="宋体" w:eastAsia="宋体" w:cs="宋体"/>
                <w:sz w:val="21"/>
                <w:szCs w:val="21"/>
              </w:rPr>
            </w:pPr>
            <w:r>
              <w:rPr>
                <w:rFonts w:hint="eastAsia" w:ascii="宋体" w:hAnsi="宋体" w:eastAsia="宋体" w:cs="宋体"/>
                <w:sz w:val="21"/>
                <w:szCs w:val="21"/>
              </w:rPr>
              <w:t>客户：产品质量，满足国家标准及客户要求；交货期要求，执行合同；使用高品质原材料，做到工艺先进；按要求规格安排生产</w:t>
            </w:r>
          </w:p>
          <w:p>
            <w:pPr>
              <w:rPr>
                <w:rFonts w:hint="eastAsia" w:ascii="宋体" w:hAnsi="宋体" w:eastAsia="宋体" w:cs="宋体"/>
                <w:sz w:val="21"/>
                <w:szCs w:val="21"/>
              </w:rPr>
            </w:pPr>
            <w:r>
              <w:rPr>
                <w:rFonts w:hint="eastAsia" w:ascii="宋体" w:hAnsi="宋体" w:eastAsia="宋体" w:cs="宋体"/>
                <w:sz w:val="21"/>
                <w:szCs w:val="21"/>
              </w:rPr>
              <w:t>供方：提供合格的保存物品现场、库房；提供便捷的现场交通通道；不拖欠货款</w:t>
            </w:r>
          </w:p>
          <w:p>
            <w:pPr>
              <w:rPr>
                <w:rFonts w:hint="eastAsia" w:ascii="宋体" w:hAnsi="宋体" w:eastAsia="宋体" w:cs="宋体"/>
                <w:sz w:val="21"/>
                <w:szCs w:val="21"/>
              </w:rPr>
            </w:pPr>
            <w:r>
              <w:rPr>
                <w:rFonts w:hint="eastAsia" w:ascii="宋体" w:hAnsi="宋体" w:eastAsia="宋体" w:cs="宋体"/>
                <w:sz w:val="21"/>
                <w:szCs w:val="21"/>
              </w:rPr>
              <w:t>员工：保证正当的合法权益；保证工资按时发放；保证各类保险依法缴纳</w:t>
            </w:r>
          </w:p>
          <w:p>
            <w:pPr>
              <w:rPr>
                <w:rFonts w:hint="eastAsia" w:ascii="宋体" w:hAnsi="宋体" w:eastAsia="宋体" w:cs="宋体"/>
                <w:sz w:val="21"/>
                <w:szCs w:val="21"/>
              </w:rPr>
            </w:pPr>
            <w:r>
              <w:rPr>
                <w:rFonts w:hint="eastAsia" w:ascii="宋体" w:hAnsi="宋体" w:eastAsia="宋体" w:cs="宋体"/>
                <w:sz w:val="21"/>
                <w:szCs w:val="21"/>
              </w:rPr>
              <w:t>公司通过</w:t>
            </w:r>
            <w:r>
              <w:rPr>
                <w:rFonts w:hint="eastAsia" w:ascii="宋体" w:hAnsi="宋体" w:eastAsia="宋体" w:cs="宋体"/>
                <w:sz w:val="21"/>
                <w:szCs w:val="21"/>
                <w:lang w:eastAsia="zh-CN"/>
              </w:rPr>
              <w:t>多种方式</w:t>
            </w:r>
            <w:r>
              <w:rPr>
                <w:rFonts w:hint="eastAsia" w:ascii="宋体" w:hAnsi="宋体" w:eastAsia="宋体" w:cs="宋体"/>
                <w:sz w:val="21"/>
                <w:szCs w:val="21"/>
              </w:rPr>
              <w:t>满足相关方需求和期望：</w:t>
            </w:r>
          </w:p>
          <w:p>
            <w:pPr>
              <w:pStyle w:val="2"/>
              <w:numPr>
                <w:numId w:val="0"/>
              </w:numPr>
            </w:pPr>
            <w:r>
              <w:rPr>
                <w:rFonts w:hint="eastAsia" w:ascii="宋体" w:hAnsi="宋体" w:eastAsia="宋体" w:cs="宋体"/>
                <w:sz w:val="21"/>
                <w:szCs w:val="21"/>
              </w:rPr>
              <w:t>对这些相关方监视和评审的方法有：上级文件、标准和规范的获取、客户走访调查、沟通等。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80" w:lineRule="exact"/>
              <w:rPr>
                <w:rFonts w:hint="eastAsia" w:ascii="宋体" w:hAnsi="宋体"/>
                <w:b/>
                <w:color w:val="000000" w:themeColor="text1"/>
                <w:sz w:val="20"/>
                <w:szCs w:val="20"/>
              </w:rPr>
            </w:pP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宋体" w:hAnsi="宋体" w:eastAsia="宋体" w:cs="宋体"/>
                <w:sz w:val="21"/>
                <w:szCs w:val="21"/>
              </w:rPr>
            </w:pPr>
            <w:r>
              <w:rPr>
                <w:rFonts w:hint="eastAsia" w:ascii="宋体" w:hAnsi="宋体" w:eastAsia="宋体" w:cs="宋体"/>
                <w:sz w:val="21"/>
                <w:szCs w:val="21"/>
              </w:rPr>
              <w:t>管理方针：</w:t>
            </w:r>
          </w:p>
          <w:p>
            <w:pPr>
              <w:rPr>
                <w:rFonts w:hint="eastAsia" w:ascii="宋体" w:hAnsi="宋体" w:eastAsia="宋体" w:cs="宋体"/>
                <w:sz w:val="21"/>
                <w:szCs w:val="21"/>
              </w:rPr>
            </w:pPr>
            <w:r>
              <w:rPr>
                <w:rFonts w:hint="eastAsia" w:ascii="宋体" w:hAnsi="宋体" w:eastAsia="宋体" w:cs="宋体"/>
                <w:sz w:val="21"/>
                <w:szCs w:val="21"/>
              </w:rPr>
              <w:t>科学管理，质量领先，持续改进，顾客满意；</w:t>
            </w:r>
          </w:p>
          <w:p>
            <w:pPr>
              <w:rPr>
                <w:rFonts w:hint="eastAsia" w:ascii="宋体" w:hAnsi="宋体" w:eastAsia="宋体" w:cs="宋体"/>
                <w:sz w:val="21"/>
                <w:szCs w:val="21"/>
              </w:rPr>
            </w:pPr>
            <w:r>
              <w:rPr>
                <w:rFonts w:hint="eastAsia" w:ascii="宋体" w:hAnsi="宋体" w:eastAsia="宋体" w:cs="宋体"/>
                <w:sz w:val="21"/>
                <w:szCs w:val="21"/>
              </w:rPr>
              <w:t>节能降耗，环境保护，预防污染，协调发展；</w:t>
            </w:r>
          </w:p>
          <w:p>
            <w:pPr>
              <w:rPr>
                <w:rFonts w:hint="eastAsia" w:ascii="宋体" w:hAnsi="宋体" w:eastAsia="宋体" w:cs="宋体"/>
                <w:sz w:val="21"/>
                <w:szCs w:val="21"/>
              </w:rPr>
            </w:pPr>
            <w:r>
              <w:rPr>
                <w:rFonts w:hint="eastAsia" w:ascii="宋体" w:hAnsi="宋体" w:eastAsia="宋体" w:cs="宋体"/>
                <w:sz w:val="21"/>
                <w:szCs w:val="21"/>
              </w:rPr>
              <w:t>员工参与，职业健康，层级控制，劳动安全；</w:t>
            </w:r>
          </w:p>
          <w:p>
            <w:pPr>
              <w:rPr>
                <w:rFonts w:hint="eastAsia" w:ascii="宋体" w:hAnsi="宋体" w:eastAsia="宋体" w:cs="宋体"/>
                <w:sz w:val="21"/>
                <w:szCs w:val="21"/>
              </w:rPr>
            </w:pPr>
            <w:r>
              <w:rPr>
                <w:rFonts w:hint="eastAsia" w:ascii="宋体" w:hAnsi="宋体" w:eastAsia="宋体" w:cs="宋体"/>
                <w:sz w:val="21"/>
                <w:szCs w:val="21"/>
              </w:rPr>
              <w:t>守法诚信，预防为主，持续改进，追求卓越。</w:t>
            </w:r>
          </w:p>
          <w:p>
            <w:pPr>
              <w:pStyle w:val="2"/>
              <w:numPr>
                <w:numId w:val="0"/>
              </w:numPr>
              <w:rPr>
                <w:b/>
                <w:color w:val="000000" w:themeColor="text1"/>
              </w:rPr>
            </w:pPr>
            <w:r>
              <w:rPr>
                <w:rFonts w:hint="eastAsia" w:ascii="宋体" w:hAnsi="宋体" w:eastAsia="宋体" w:cs="宋体"/>
                <w:sz w:val="21"/>
                <w:szCs w:val="21"/>
              </w:rPr>
              <w:t>管理方针与企业的经营宗旨相适应，协调；通过会议传达，沟通，让全体员工理解执行。并定期进行评审（一般一年一次）。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风险识别与控制策划（QMS）</w:t>
            </w:r>
          </w:p>
          <w:p>
            <w:pPr>
              <w:rPr>
                <w:rFonts w:hint="eastAsia" w:ascii="宋体" w:hAnsi="宋体" w:eastAsia="宋体" w:cs="宋体"/>
                <w:sz w:val="21"/>
                <w:szCs w:val="21"/>
              </w:rPr>
            </w:pPr>
            <w:r>
              <w:rPr>
                <w:rFonts w:hint="eastAsia" w:ascii="宋体" w:hAnsi="宋体" w:eastAsia="宋体" w:cs="宋体"/>
                <w:sz w:val="21"/>
                <w:szCs w:val="21"/>
              </w:rPr>
              <w:t>编制了《风险和机遇的应对控制程序》。</w:t>
            </w:r>
          </w:p>
          <w:p>
            <w:pPr>
              <w:rPr>
                <w:rFonts w:hint="eastAsia" w:ascii="宋体" w:hAnsi="宋体" w:eastAsia="宋体" w:cs="宋体"/>
                <w:sz w:val="21"/>
                <w:szCs w:val="21"/>
              </w:rPr>
            </w:pPr>
            <w:r>
              <w:rPr>
                <w:rFonts w:hint="eastAsia" w:ascii="宋体" w:hAnsi="宋体" w:eastAsia="宋体" w:cs="宋体"/>
                <w:sz w:val="21"/>
                <w:szCs w:val="21"/>
              </w:rPr>
              <w:t>查见“SWOT分析”“风险机遇措施实施计划表”，确定了组织需应对的风险和机遇。</w:t>
            </w:r>
          </w:p>
          <w:p>
            <w:pPr>
              <w:pStyle w:val="2"/>
              <w:numPr>
                <w:numId w:val="0"/>
              </w:numPr>
              <w:ind w:leftChars="0"/>
            </w:pPr>
            <w:r>
              <w:rPr>
                <w:rFonts w:hint="eastAsia" w:ascii="宋体" w:hAnsi="宋体" w:eastAsia="宋体" w:cs="宋体"/>
                <w:sz w:val="21"/>
                <w:szCs w:val="21"/>
              </w:rPr>
              <w:t>组织在确定这些风险和机遇时，考虑了员工岗位技能、生产能力、市场需求等内外部因素及合同方（顾客）的相关要求。评审情况均为符合发展要求，评审人：黄宗伟 赵金山 尹红军 赵金良 任标  2020.3.5措施正在实施中。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spacing w:line="360" w:lineRule="auto"/>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购货（需方）单位提出委托和</w:t>
            </w:r>
            <w:r>
              <w:rPr>
                <w:rFonts w:hint="eastAsia" w:asciiTheme="minorEastAsia" w:hAnsiTheme="minorEastAsia" w:eastAsiaTheme="minorEastAsia" w:cstheme="minorEastAsia"/>
                <w:sz w:val="21"/>
                <w:szCs w:val="21"/>
                <w:lang w:eastAsia="zh-CN"/>
              </w:rPr>
              <w:t>钢筋</w:t>
            </w:r>
            <w:r>
              <w:rPr>
                <w:rFonts w:hint="eastAsia" w:asciiTheme="minorEastAsia" w:hAnsiTheme="minorEastAsia" w:eastAsiaTheme="minorEastAsia" w:cstheme="minorEastAsia"/>
                <w:sz w:val="21"/>
                <w:szCs w:val="21"/>
              </w:rPr>
              <w:t>混凝土</w:t>
            </w:r>
            <w:r>
              <w:rPr>
                <w:rFonts w:hint="eastAsia" w:asciiTheme="minorEastAsia" w:hAnsiTheme="minorEastAsia" w:eastAsiaTheme="minorEastAsia" w:cstheme="minorEastAsia"/>
                <w:sz w:val="21"/>
                <w:szCs w:val="21"/>
                <w:lang w:eastAsia="zh-CN"/>
              </w:rPr>
              <w:t>盖板</w:t>
            </w:r>
            <w:r>
              <w:rPr>
                <w:rFonts w:hint="eastAsia" w:asciiTheme="minorEastAsia" w:hAnsiTheme="minorEastAsia" w:eastAsiaTheme="minorEastAsia" w:cstheme="minorEastAsia"/>
                <w:sz w:val="21"/>
                <w:szCs w:val="21"/>
              </w:rPr>
              <w:t>质量技术要求→双方签订供需合同并明确双方责任→下达生产任务→</w:t>
            </w:r>
            <w:r>
              <w:rPr>
                <w:rFonts w:hint="eastAsia" w:asciiTheme="minorEastAsia" w:hAnsiTheme="minorEastAsia" w:eastAsiaTheme="minorEastAsia" w:cstheme="minorEastAsia"/>
                <w:sz w:val="21"/>
                <w:szCs w:val="21"/>
                <w:lang w:eastAsia="zh-CN"/>
              </w:rPr>
              <w:t>焊接钢筋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混凝土配料搅拌</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灌装模具</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振捣成型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养护</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出厂</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售后</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关键</w:t>
            </w:r>
            <w:r>
              <w:rPr>
                <w:rFonts w:hint="eastAsia" w:asciiTheme="minorEastAsia" w:hAnsiTheme="minorEastAsia" w:eastAsiaTheme="minorEastAsia" w:cstheme="minorEastAsia"/>
                <w:sz w:val="21"/>
                <w:szCs w:val="21"/>
                <w:lang w:eastAsia="zh-CN"/>
              </w:rPr>
              <w:t>过程：混凝土配料搅拌</w:t>
            </w:r>
            <w:r>
              <w:rPr>
                <w:rFonts w:hint="eastAsia" w:asciiTheme="minorEastAsia" w:hAnsiTheme="minorEastAsia" w:eastAsiaTheme="minorEastAsia" w:cstheme="minorEastAsia"/>
                <w:b w:val="0"/>
                <w:bCs w:val="0"/>
                <w:color w:val="auto"/>
                <w:sz w:val="21"/>
                <w:szCs w:val="21"/>
              </w:rPr>
              <w:t>和</w:t>
            </w:r>
            <w:r>
              <w:rPr>
                <w:rFonts w:hint="eastAsia" w:asciiTheme="minorEastAsia" w:hAnsiTheme="minorEastAsia" w:eastAsiaTheme="minorEastAsia" w:cstheme="minorEastAsia"/>
                <w:sz w:val="21"/>
                <w:szCs w:val="21"/>
                <w:lang w:eastAsia="zh-CN"/>
              </w:rPr>
              <w:t>振捣成型</w:t>
            </w:r>
          </w:p>
          <w:p>
            <w:pPr>
              <w:spacing w:line="360" w:lineRule="auto"/>
              <w:rPr>
                <w:rFonts w:hint="eastAsia" w:ascii="宋体" w:hAnsi="宋体"/>
                <w:b/>
                <w:color w:val="000000" w:themeColor="text1"/>
                <w:sz w:val="20"/>
                <w:szCs w:val="20"/>
              </w:rPr>
            </w:pPr>
            <w:r>
              <w:rPr>
                <w:rFonts w:hint="eastAsia" w:asciiTheme="minorEastAsia" w:hAnsiTheme="minorEastAsia" w:eastAsiaTheme="minorEastAsia" w:cstheme="minorEastAsia"/>
                <w:sz w:val="21"/>
                <w:szCs w:val="21"/>
                <w:lang w:eastAsia="zh-CN"/>
              </w:rPr>
              <w:t>特殊过程：焊接</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asciiTheme="minorEastAsia" w:hAnsiTheme="minorEastAsia" w:eastAsiaTheme="minorEastAsia" w:cstheme="minorEastAsia"/>
                <w:sz w:val="21"/>
                <w:szCs w:val="21"/>
                <w:lang w:eastAsia="zh-CN"/>
              </w:rPr>
              <w:t xml:space="preserve">产品按国家标准或客户要求生产制造，不涉及设计研发，故公司目前不适用 “8.3  产品和服务的设计和开发”条款。不适用的要求不影响组织确保产品和服务的符合性以及增强顾客满意的能力或责任。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60" w:lineRule="auto"/>
              <w:ind w:firstLine="420" w:firstLineChars="2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见：《环境因素识别评价表》：已识别</w:t>
            </w:r>
            <w:r>
              <w:rPr>
                <w:rFonts w:hint="eastAsia" w:asciiTheme="minorEastAsia" w:hAnsiTheme="minorEastAsia" w:eastAsiaTheme="minorEastAsia" w:cstheme="minorEastAsia"/>
                <w:bCs/>
                <w:color w:val="auto"/>
                <w:sz w:val="21"/>
                <w:szCs w:val="21"/>
                <w:lang w:eastAsia="zh-CN"/>
              </w:rPr>
              <w:t>生技部</w:t>
            </w:r>
            <w:r>
              <w:rPr>
                <w:rFonts w:hint="eastAsia" w:asciiTheme="minorEastAsia" w:hAnsiTheme="minorEastAsia" w:eastAsiaTheme="minorEastAsia" w:cstheme="minorEastAsia"/>
                <w:bCs/>
                <w:color w:val="auto"/>
                <w:sz w:val="21"/>
                <w:szCs w:val="21"/>
              </w:rPr>
              <w:t>的环境因素产生过程包括：原材料进场、砂石上料、混凝土搅拌、设备、空压机、混凝土运输、设备维修、办公用车的使用等过程中粉尘的排放，噪声的排放，能源的消耗，废水、废渣的排放、固废的废弃等，在环境评价过程中考虑到环境影响、三种时态和三种状态等。使用分级评分的方式。基本合理。</w:t>
            </w:r>
          </w:p>
          <w:p>
            <w:pPr>
              <w:spacing w:line="360" w:lineRule="auto"/>
              <w:ind w:firstLine="420" w:firstLineChars="200"/>
              <w:rPr>
                <w:b/>
                <w:color w:val="000000" w:themeColor="text1"/>
                <w:sz w:val="20"/>
                <w:szCs w:val="20"/>
              </w:rPr>
            </w:pPr>
            <w:r>
              <w:rPr>
                <w:rFonts w:hint="eastAsia" w:asciiTheme="minorEastAsia" w:hAnsiTheme="minorEastAsia" w:eastAsiaTheme="minorEastAsia" w:cstheme="minorEastAsia"/>
                <w:bCs/>
                <w:color w:val="auto"/>
                <w:sz w:val="21"/>
                <w:szCs w:val="21"/>
              </w:rPr>
              <w:t xml:space="preserve"> 编制：尹红军       审批：黄宗伟    时间：2019.12.10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60" w:lineRule="auto"/>
              <w:ind w:firstLine="420" w:firstLineChars="2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查到《危险源辨识与评价一览表》，内容有：作业活动名称、潜在危险因素、时态、状态、可导致事故、可采取控制措施、危险发生的可能性L、损失后果C、频繁程度E、等。识别出生产技术部（包括车队）危险源有：触电、火灾、机械伤害、听力损害、爆炸、高空坠落、中毒、职业病、人身伤害等。优先控制风险采用“LEC”方法进行评价。提供《不可接受风险清单》有：</w:t>
            </w:r>
            <w:r>
              <w:rPr>
                <w:rFonts w:hint="eastAsia" w:asciiTheme="minorEastAsia" w:hAnsiTheme="minorEastAsia" w:eastAsiaTheme="minorEastAsia" w:cstheme="minorEastAsia"/>
                <w:sz w:val="21"/>
                <w:szCs w:val="21"/>
              </w:rPr>
              <w:t>火灾、触电、机械伤害、</w:t>
            </w:r>
            <w:r>
              <w:rPr>
                <w:rFonts w:hint="eastAsia" w:asciiTheme="minorEastAsia" w:hAnsiTheme="minorEastAsia" w:eastAsiaTheme="minorEastAsia" w:cstheme="minorEastAsia"/>
                <w:sz w:val="21"/>
                <w:szCs w:val="21"/>
                <w:lang w:eastAsia="zh-CN"/>
              </w:rPr>
              <w:t>职业病</w:t>
            </w:r>
            <w:r>
              <w:rPr>
                <w:rFonts w:hint="eastAsia" w:asciiTheme="minorEastAsia" w:hAnsiTheme="minorEastAsia" w:eastAsiaTheme="minorEastAsia" w:cstheme="minorEastAsia"/>
                <w:bCs/>
                <w:color w:val="auto"/>
                <w:sz w:val="21"/>
                <w:szCs w:val="21"/>
              </w:rPr>
              <w:t>，并制定有控制措施。</w:t>
            </w:r>
          </w:p>
          <w:p>
            <w:pPr>
              <w:pStyle w:val="2"/>
            </w:pPr>
            <w:r>
              <w:rPr>
                <w:rFonts w:hint="eastAsia" w:asciiTheme="minorEastAsia" w:hAnsiTheme="minorEastAsia" w:eastAsiaTheme="minorEastAsia" w:cstheme="minorEastAsia"/>
                <w:bCs/>
                <w:color w:val="auto"/>
                <w:sz w:val="21"/>
                <w:szCs w:val="21"/>
              </w:rPr>
              <w:t>编制：尹红军       审批：黄宗伟    时间：2019.12.10。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4"/>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4"/>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4"/>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cs="宋体"/>
              </w:rPr>
              <w:t>通过信息联络单、口头、电话、网络、办公会议等方式进行内部沟通，通过宣贯培训让员工充分认识到质量、环境、职业健康安全体系的要求。对外部相关方进行信息的交流方式：通过文件传真、接收通知、现场交流、合同协议、上网、施加影响等方式沟通协商。内部、外部沟通协商的机制已建立运行，基本有效。</w:t>
            </w:r>
          </w:p>
          <w:p>
            <w:pPr>
              <w:pStyle w:val="14"/>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5. 目标、方案</w:t>
            </w:r>
          </w:p>
          <w:p>
            <w:pPr>
              <w:rPr>
                <w:rFonts w:hint="eastAsia"/>
              </w:rPr>
            </w:pPr>
            <w:r>
              <w:rPr>
                <w:rFonts w:hint="eastAsia"/>
              </w:rPr>
              <w:t>公司目标：1、产品一次检验合格率≥95%；</w:t>
            </w:r>
          </w:p>
          <w:p>
            <w:pPr>
              <w:rPr>
                <w:rFonts w:hint="eastAsia"/>
              </w:rPr>
            </w:pPr>
            <w:r>
              <w:rPr>
                <w:rFonts w:hint="eastAsia"/>
              </w:rPr>
              <w:t>2、顾客满意度≥90%；</w:t>
            </w:r>
          </w:p>
          <w:p>
            <w:pPr>
              <w:rPr>
                <w:rFonts w:hint="eastAsia"/>
              </w:rPr>
            </w:pPr>
            <w:r>
              <w:rPr>
                <w:rFonts w:hint="eastAsia"/>
              </w:rPr>
              <w:t>3、污染物排放达标率100%；</w:t>
            </w:r>
          </w:p>
          <w:p>
            <w:pPr>
              <w:rPr>
                <w:rFonts w:hint="eastAsia"/>
              </w:rPr>
            </w:pPr>
            <w:r>
              <w:rPr>
                <w:rFonts w:hint="eastAsia"/>
              </w:rPr>
              <w:t>4)环境事故为0；</w:t>
            </w:r>
          </w:p>
          <w:p>
            <w:pPr>
              <w:rPr>
                <w:rFonts w:hint="eastAsia"/>
              </w:rPr>
            </w:pPr>
            <w:r>
              <w:rPr>
                <w:rFonts w:hint="eastAsia"/>
              </w:rPr>
              <w:t>5)火灾事故为0</w:t>
            </w:r>
          </w:p>
          <w:p>
            <w:pPr>
              <w:spacing w:line="300" w:lineRule="exact"/>
              <w:rPr>
                <w:rFonts w:hint="eastAsia" w:eastAsia="宋体"/>
                <w:lang w:eastAsia="zh-CN"/>
              </w:rPr>
            </w:pPr>
            <w:r>
              <w:rPr>
                <w:rFonts w:hint="eastAsia"/>
              </w:rPr>
              <w:t>对目标进行了分解，建立了各部门的分目标，每季度末对目标进行考核</w:t>
            </w:r>
            <w:r>
              <w:rPr>
                <w:rFonts w:hint="eastAsia"/>
                <w:lang w:eastAsia="zh-CN"/>
              </w:rPr>
              <w:t>。</w:t>
            </w:r>
          </w:p>
          <w:p>
            <w:pPr>
              <w:pStyle w:val="2"/>
              <w:ind w:firstLine="460" w:firstLineChars="200"/>
            </w:pPr>
            <w:r>
              <w:rPr>
                <w:rFonts w:hint="eastAsia" w:cs="宋体"/>
              </w:rPr>
              <w:t>每季度组织一次对目标、指标管理方案进行程度、完成情况的考核，提供安全目标、指标考核记录，目标、指标管理方案完成情况考核，达到了阶段性的目标要求。制定的指标和管理方案基本可行。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r>
              <w:rPr>
                <w:rFonts w:hint="eastAsia" w:cs="宋体"/>
              </w:rPr>
              <w:t>受审核方建立的管理体系文件包括：</w:t>
            </w:r>
          </w:p>
          <w:p>
            <w:pPr>
              <w:rPr>
                <w:rFonts w:hint="eastAsia"/>
                <w:szCs w:val="22"/>
              </w:rPr>
            </w:pPr>
            <w:r>
              <w:rPr>
                <w:rFonts w:hint="eastAsia"/>
                <w:szCs w:val="22"/>
              </w:rPr>
              <w:t>1.管理手册</w:t>
            </w:r>
            <w:r>
              <w:rPr>
                <w:szCs w:val="22"/>
              </w:rPr>
              <w:t>SQJC-SC -2019</w:t>
            </w:r>
            <w:r>
              <w:rPr>
                <w:rFonts w:hint="eastAsia"/>
                <w:szCs w:val="22"/>
              </w:rPr>
              <w:t>-AO版，2019年12月1日发表实施（含管理方针、目标）</w:t>
            </w:r>
          </w:p>
          <w:p>
            <w:pPr>
              <w:rPr>
                <w:rFonts w:hint="eastAsia"/>
                <w:szCs w:val="22"/>
              </w:rPr>
            </w:pPr>
            <w:r>
              <w:rPr>
                <w:rFonts w:hint="eastAsia"/>
                <w:szCs w:val="22"/>
              </w:rPr>
              <w:t>2.程序文件SQJC/CX -（01-25）-2019，包括标准要求的程序</w:t>
            </w:r>
          </w:p>
          <w:p>
            <w:pPr>
              <w:rPr>
                <w:rFonts w:hint="eastAsia"/>
              </w:rPr>
            </w:pPr>
            <w:r>
              <w:rPr>
                <w:rFonts w:hint="eastAsia"/>
                <w:szCs w:val="22"/>
              </w:rPr>
              <w:t>3.</w:t>
            </w:r>
            <w:r>
              <w:rPr>
                <w:rFonts w:hint="eastAsia"/>
              </w:rPr>
              <w:t xml:space="preserve"> </w:t>
            </w:r>
            <w:r>
              <w:rPr>
                <w:rFonts w:hint="eastAsia"/>
                <w:szCs w:val="22"/>
              </w:rPr>
              <w:t>管理制度汇编</w:t>
            </w:r>
            <w:r>
              <w:t>SQJC-GLZD -2019</w:t>
            </w:r>
            <w:r>
              <w:rPr>
                <w:rFonts w:hint="eastAsia"/>
              </w:rPr>
              <w:t>，包括：工艺文件管理制度、库房管理办法、生产现场管理规定等</w:t>
            </w:r>
            <w:r>
              <w:rPr>
                <w:rFonts w:hint="eastAsia"/>
                <w:szCs w:val="22"/>
              </w:rPr>
              <w:t>。</w:t>
            </w:r>
          </w:p>
          <w:p>
            <w:pPr>
              <w:rPr>
                <w:rFonts w:hint="eastAsia" w:cs="宋体"/>
              </w:rPr>
            </w:pPr>
            <w:r>
              <w:rPr>
                <w:rFonts w:hint="eastAsia"/>
                <w:szCs w:val="22"/>
              </w:rPr>
              <w:t>4.体系运行所需要的记录</w:t>
            </w:r>
          </w:p>
          <w:p>
            <w:pPr>
              <w:rPr>
                <w:rFonts w:hint="eastAsia" w:cs="宋体"/>
              </w:rPr>
            </w:pPr>
            <w:r>
              <w:rPr>
                <w:rFonts w:hint="eastAsia" w:cs="宋体"/>
              </w:rPr>
              <w:t>编制了《文件控制程序》用于对管理体系文件，符合标准要求。</w:t>
            </w:r>
          </w:p>
          <w:p>
            <w:pPr>
              <w:rPr>
                <w:rFonts w:hint="eastAsia" w:cs="宋体"/>
              </w:rPr>
            </w:pPr>
            <w:r>
              <w:rPr>
                <w:rFonts w:hint="eastAsia" w:cs="宋体"/>
              </w:rPr>
              <w:t>查看《文件发放签收表》，内容包括：文件名称，文件编号，接收部门，分发序号，接收人/日期，回收记录。</w:t>
            </w:r>
          </w:p>
          <w:p>
            <w:pPr>
              <w:rPr>
                <w:rFonts w:hint="eastAsia" w:cs="宋体"/>
              </w:rPr>
            </w:pPr>
            <w:r>
              <w:rPr>
                <w:rFonts w:hint="eastAsia" w:cs="宋体"/>
              </w:rPr>
              <w:t>查办公室管理手册的发放，文件编号</w:t>
            </w:r>
            <w:r>
              <w:rPr>
                <w:szCs w:val="22"/>
              </w:rPr>
              <w:t>SQJC-SC -2019</w:t>
            </w:r>
            <w:r>
              <w:rPr>
                <w:rFonts w:hint="eastAsia"/>
                <w:szCs w:val="22"/>
              </w:rPr>
              <w:t>-AO</w:t>
            </w:r>
            <w:r>
              <w:rPr>
                <w:rFonts w:hint="eastAsia" w:cs="宋体"/>
              </w:rPr>
              <w:t>，接收人：赵金山。</w:t>
            </w:r>
          </w:p>
          <w:p>
            <w:r>
              <w:rPr>
                <w:rFonts w:hint="eastAsia" w:cs="宋体"/>
              </w:rPr>
              <w:t>查文件更改情况：针对文审提出的不符合，对《管理手册》进行了更改。补充完善了相关内容，被替换的文件页均标有“作废”标识，由办公室统一封存。</w:t>
            </w:r>
          </w:p>
          <w:p>
            <w:r>
              <w:rPr>
                <w:rFonts w:hint="eastAsia" w:cs="宋体"/>
              </w:rPr>
              <w:t>查办公室管理手册、管理制度等文件均保管良好，为有效版本，有受控标识。</w:t>
            </w:r>
          </w:p>
          <w:p>
            <w:r>
              <w:rPr>
                <w:rFonts w:hint="eastAsia" w:cs="宋体"/>
              </w:rPr>
              <w:t>外来文件保管良好，均为有效版本。</w:t>
            </w:r>
          </w:p>
          <w:p>
            <w:pPr>
              <w:ind w:firstLine="420" w:firstLineChars="200"/>
            </w:pPr>
            <w:r>
              <w:rPr>
                <w:rFonts w:hint="eastAsia" w:cs="宋体"/>
              </w:rPr>
              <w:t>编制了《记录控制程序》用于对记录的管理，符合标准要求。</w:t>
            </w:r>
          </w:p>
          <w:p>
            <w:r>
              <w:rPr>
                <w:rFonts w:hint="eastAsia" w:cs="宋体"/>
              </w:rPr>
              <w:t>查见《记录清单》，内容包括：序号、记录名称、编号、保存期等。</w:t>
            </w:r>
          </w:p>
          <w:p>
            <w:r>
              <w:rPr>
                <w:rFonts w:hint="eastAsia" w:cs="宋体"/>
              </w:rPr>
              <w:t>共登记有文件发放登记表、受控文件清单、外来文件清单、培训记录表、环境因素清单等。保存期限分别为三年和长期。</w:t>
            </w:r>
          </w:p>
          <w:p>
            <w:pPr>
              <w:tabs>
                <w:tab w:val="left" w:pos="540"/>
              </w:tabs>
              <w:spacing w:line="240" w:lineRule="exact"/>
              <w:rPr>
                <w:rFonts w:ascii="宋体" w:hAnsi="宋体"/>
                <w:b/>
                <w:color w:val="000000" w:themeColor="text1"/>
                <w:sz w:val="20"/>
                <w:szCs w:val="20"/>
              </w:rPr>
            </w:pPr>
            <w:r>
              <w:rPr>
                <w:rFonts w:hint="eastAsia" w:cs="宋体"/>
              </w:rPr>
              <w:t>介绍：尚未销毁记录，如有，由办公室组织进行。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1、组织配置了适宜的人员：如总经办人员、管理人员、业务人员、技术员、财务等；人员配置基本满足日常管理体系运行要求；</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2、受审核方特种作业人员</w:t>
            </w:r>
            <w:r>
              <w:rPr>
                <w:rFonts w:hint="eastAsia" w:asciiTheme="minorEastAsia" w:hAnsiTheme="minorEastAsia" w:eastAsiaTheme="minorEastAsia" w:cstheme="minorEastAsia"/>
                <w:szCs w:val="21"/>
                <w:lang w:eastAsia="zh-CN"/>
              </w:rPr>
              <w:t>行车、叉车、电焊工持证上岗</w:t>
            </w:r>
            <w:r>
              <w:rPr>
                <w:rFonts w:hint="eastAsia" w:asciiTheme="minorEastAsia" w:hAnsiTheme="minorEastAsia" w:eastAsiaTheme="minorEastAsia" w:cstheme="minorEastAsia"/>
                <w:szCs w:val="21"/>
              </w:rPr>
              <w:t>。</w:t>
            </w:r>
          </w:p>
          <w:p>
            <w:pPr>
              <w:spacing w:line="300" w:lineRule="exact"/>
              <w:rPr>
                <w:rFonts w:ascii="宋体" w:hAnsi="宋体"/>
                <w:b/>
                <w:color w:val="000000" w:themeColor="text1"/>
                <w:sz w:val="20"/>
                <w:szCs w:val="20"/>
              </w:rPr>
            </w:pPr>
            <w:r>
              <w:rPr>
                <w:rFonts w:hint="eastAsia" w:asciiTheme="minorEastAsia" w:hAnsiTheme="minorEastAsia" w:eastAsiaTheme="minorEastAsia" w:cstheme="minorEastAsia"/>
                <w:szCs w:val="21"/>
              </w:rPr>
              <w:t>3、组织通过</w:t>
            </w:r>
            <w:r>
              <w:rPr>
                <w:rFonts w:hint="eastAsia" w:asciiTheme="minorEastAsia" w:hAnsiTheme="minorEastAsia" w:eastAsiaTheme="minorEastAsia" w:cstheme="minorEastAsia"/>
                <w:szCs w:val="21"/>
                <w:lang w:eastAsia="zh-CN"/>
              </w:rPr>
              <w:t>采购部</w:t>
            </w:r>
            <w:r>
              <w:rPr>
                <w:rFonts w:hint="eastAsia" w:asciiTheme="minorEastAsia" w:hAnsiTheme="minorEastAsia" w:eastAsiaTheme="minorEastAsia" w:cstheme="minorEastAsia"/>
                <w:szCs w:val="21"/>
              </w:rPr>
              <w:t>、办公室、技术部对供应商的人员和设备等进行了评价，经过评价确定，供应商配备了具备有能保持稳定提供产品的能力。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sz w:val="21"/>
                <w:szCs w:val="21"/>
              </w:rPr>
              <w:t>生产设备及及基础设施有：</w:t>
            </w:r>
            <w:r>
              <w:rPr>
                <w:rFonts w:hint="eastAsia" w:asciiTheme="minorEastAsia" w:hAnsiTheme="minorEastAsia" w:eastAsiaTheme="minorEastAsia" w:cstheme="minorEastAsia"/>
                <w:sz w:val="21"/>
                <w:szCs w:val="21"/>
                <w:lang w:val="en-US" w:eastAsia="zh-CN"/>
              </w:rPr>
              <w:t>搅拌机 、振捣平台、振捣设备、柴油自卸车、给料机、电焊机、调直切机、 翻斗车、桥式起重机、叉车、蒸汽锅炉等；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过程运行环境</w:t>
            </w:r>
            <w:r>
              <w:rPr>
                <w:rFonts w:hint="eastAsia" w:ascii="宋体" w:hAnsi="宋体"/>
                <w:b/>
                <w:color w:val="000000" w:themeColor="text1"/>
                <w:sz w:val="20"/>
                <w:szCs w:val="20"/>
                <w:lang w:eastAsia="zh-CN"/>
              </w:rPr>
              <w:t>：</w:t>
            </w:r>
          </w:p>
          <w:p>
            <w:pPr>
              <w:pStyle w:val="9"/>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观察办公区、生产车间环境卫生管理，有“办公环境卫生管理制度”、“安全防火规定等规章制度”等规章制度。</w:t>
            </w:r>
          </w:p>
          <w:p>
            <w:pPr>
              <w:pStyle w:val="9"/>
              <w:spacing w:line="360" w:lineRule="auto"/>
              <w:ind w:left="0"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基本</w:t>
            </w:r>
            <w:r>
              <w:rPr>
                <w:rFonts w:hint="eastAsia" w:asciiTheme="minorEastAsia" w:hAnsiTheme="minorEastAsia" w:eastAsiaTheme="minorEastAsia" w:cstheme="minorEastAsia"/>
                <w:color w:val="auto"/>
                <w:sz w:val="21"/>
                <w:szCs w:val="21"/>
              </w:rPr>
              <w:t>满足办公</w:t>
            </w:r>
            <w:r>
              <w:rPr>
                <w:rFonts w:hint="eastAsia" w:asciiTheme="minorEastAsia" w:hAnsiTheme="minorEastAsia" w:eastAsiaTheme="minorEastAsia" w:cstheme="minorEastAsia"/>
                <w:color w:val="auto"/>
                <w:sz w:val="21"/>
                <w:szCs w:val="21"/>
                <w:lang w:val="en-US" w:eastAsia="zh-CN"/>
              </w:rPr>
              <w:t>/生产</w:t>
            </w:r>
            <w:r>
              <w:rPr>
                <w:rFonts w:hint="eastAsia" w:asciiTheme="minorEastAsia" w:hAnsiTheme="minorEastAsia" w:eastAsiaTheme="minorEastAsia" w:cstheme="minorEastAsia"/>
                <w:color w:val="auto"/>
                <w:sz w:val="21"/>
                <w:szCs w:val="21"/>
              </w:rPr>
              <w:t>需求</w:t>
            </w:r>
            <w:r>
              <w:rPr>
                <w:rFonts w:hint="eastAsia" w:asciiTheme="minorEastAsia" w:hAnsiTheme="minorEastAsia" w:eastAsiaTheme="minorEastAsia" w:cstheme="minorEastAsia"/>
                <w:color w:val="auto"/>
                <w:sz w:val="21"/>
                <w:szCs w:val="21"/>
                <w:lang w:eastAsia="zh-CN"/>
              </w:rPr>
              <w:t>，仍需改进</w:t>
            </w:r>
            <w:r>
              <w:rPr>
                <w:rFonts w:hint="eastAsia" w:asciiTheme="minorEastAsia" w:hAnsiTheme="minorEastAsia" w:eastAsiaTheme="minorEastAsia" w:cstheme="minorEastAsia"/>
                <w:color w:val="auto"/>
                <w:sz w:val="21"/>
                <w:szCs w:val="21"/>
              </w:rPr>
              <w:t>。</w:t>
            </w:r>
          </w:p>
          <w:p>
            <w:pPr>
              <w:pStyle w:val="9"/>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经与主管人员交谈，其对本部门在本条款管理中的职责、分工和接口关系清楚掌握，基本符合文件要求。</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rPr>
              <w:t>公司定期举行旅游活动、体检，带薪休假等，已缓解员工的心理压力、过度疲劳等。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rPr>
            </w:pPr>
            <w:r>
              <w:rPr>
                <w:rFonts w:hint="eastAsia"/>
              </w:rPr>
              <w:t>监视和测量资源</w:t>
            </w:r>
          </w:p>
          <w:p>
            <w:pPr>
              <w:pStyle w:val="9"/>
              <w:spacing w:line="360" w:lineRule="auto"/>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监测资源：查到“</w:t>
            </w:r>
            <w:r>
              <w:rPr>
                <w:rFonts w:hint="eastAsia" w:asciiTheme="minorEastAsia" w:hAnsiTheme="minorEastAsia" w:eastAsiaTheme="minorEastAsia" w:cstheme="minorEastAsia"/>
                <w:bCs/>
                <w:color w:val="auto"/>
                <w:sz w:val="21"/>
                <w:szCs w:val="21"/>
              </w:rPr>
              <w:t>计量器具/监视设备台账”，见</w:t>
            </w:r>
            <w:r>
              <w:rPr>
                <w:rFonts w:hint="eastAsia" w:asciiTheme="minorEastAsia" w:hAnsiTheme="minorEastAsia" w:eastAsiaTheme="minorEastAsia" w:cstheme="minorEastAsia"/>
                <w:color w:val="auto"/>
                <w:sz w:val="21"/>
                <w:szCs w:val="21"/>
                <w:lang w:eastAsia="zh-CN"/>
              </w:rPr>
              <w:t>压力</w:t>
            </w:r>
            <w:r>
              <w:rPr>
                <w:rFonts w:hint="eastAsia" w:asciiTheme="minorEastAsia" w:hAnsiTheme="minorEastAsia" w:eastAsiaTheme="minorEastAsia" w:cstheme="minorEastAsia"/>
                <w:color w:val="auto"/>
                <w:sz w:val="21"/>
                <w:szCs w:val="21"/>
              </w:rPr>
              <w:t>试验机、砼贯入阻力仪、搅拌机、振动台、电子天平、水泥养护箱、电热干燥箱、水泥（砼）养护箱、温度控制器、渗透仪等，提供检定合格证书</w:t>
            </w:r>
            <w:r>
              <w:rPr>
                <w:rFonts w:hint="eastAsia" w:asciiTheme="minorEastAsia" w:hAnsiTheme="minorEastAsia" w:eastAsiaTheme="minorEastAsia" w:cstheme="minorEastAsia"/>
                <w:color w:val="auto"/>
                <w:sz w:val="21"/>
                <w:szCs w:val="21"/>
                <w:lang w:eastAsia="zh-CN"/>
              </w:rPr>
              <w:t>，查上述检测设备检定证书，均在有效期内</w:t>
            </w:r>
            <w:r>
              <w:rPr>
                <w:rFonts w:hint="eastAsia" w:asciiTheme="minorEastAsia" w:hAnsiTheme="minorEastAsia" w:eastAsiaTheme="minorEastAsia" w:cstheme="minorEastAsia"/>
                <w:color w:val="auto"/>
                <w:sz w:val="21"/>
                <w:szCs w:val="21"/>
              </w:rPr>
              <w:t>。（见附件）</w:t>
            </w:r>
          </w:p>
          <w:p>
            <w:pPr>
              <w:pStyle w:val="9"/>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监视和测量资源搬运、储存维护满足要求，状态标识符合要求。</w:t>
            </w:r>
          </w:p>
          <w:p>
            <w:pPr>
              <w:pStyle w:val="2"/>
            </w:pPr>
            <w:r>
              <w:rPr>
                <w:rFonts w:hint="eastAsia" w:asciiTheme="minorEastAsia" w:hAnsiTheme="minorEastAsia" w:eastAsiaTheme="minorEastAsia" w:cstheme="minorEastAsia"/>
                <w:color w:val="auto"/>
                <w:szCs w:val="21"/>
              </w:rPr>
              <w:t>负责人介绍：监视和测量设备由检查员负责保管、使用，确保了仪器的正常使用。试验室人员有操作自核，持证上岗，人员证书见附件。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80" w:lineRule="exact"/>
              <w:rPr>
                <w:rFonts w:hint="eastAsia" w:asciiTheme="minorEastAsia" w:hAnsiTheme="minorEastAsia" w:eastAsiaTheme="minorEastAsia" w:cstheme="minorEastAsia"/>
                <w:szCs w:val="21"/>
              </w:rPr>
            </w:pPr>
            <w:r>
              <w:rPr>
                <w:rFonts w:hint="eastAsia" w:ascii="宋体" w:hAnsi="宋体"/>
                <w:b/>
                <w:color w:val="000000" w:themeColor="text1"/>
                <w:sz w:val="20"/>
                <w:szCs w:val="20"/>
              </w:rPr>
              <w:t>知识</w:t>
            </w:r>
            <w:r>
              <w:rPr>
                <w:rFonts w:hint="eastAsia" w:ascii="宋体" w:hAnsi="宋体"/>
                <w:b/>
                <w:color w:val="000000" w:themeColor="text1"/>
                <w:sz w:val="20"/>
                <w:szCs w:val="20"/>
                <w:lang w:eastAsia="zh-CN"/>
              </w:rPr>
              <w:t>：</w:t>
            </w:r>
            <w:r>
              <w:rPr>
                <w:rFonts w:hint="eastAsia" w:asciiTheme="minorEastAsia" w:hAnsiTheme="minorEastAsia" w:eastAsiaTheme="minorEastAsia" w:cstheme="minorEastAsia"/>
                <w:szCs w:val="21"/>
              </w:rPr>
              <w:t>编制了知识管理</w:t>
            </w:r>
            <w:r>
              <w:rPr>
                <w:rFonts w:hint="eastAsia" w:asciiTheme="minorEastAsia" w:hAnsiTheme="minorEastAsia" w:eastAsiaTheme="minorEastAsia" w:cstheme="minorEastAsia"/>
                <w:szCs w:val="21"/>
                <w:lang w:eastAsia="zh-CN"/>
              </w:rPr>
              <w:t>办法</w:t>
            </w:r>
            <w:r>
              <w:rPr>
                <w:rFonts w:hint="eastAsia" w:asciiTheme="minorEastAsia" w:hAnsiTheme="minorEastAsia" w:eastAsiaTheme="minorEastAsia" w:cstheme="minorEastAsia"/>
                <w:szCs w:val="21"/>
              </w:rPr>
              <w:t>，组织确定运行过程所需要的知识，包括内部知识、外部知识。</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经组织识别，组织内外部知识包括：</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外部知识、专业知识、管理经验、教训等。</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现场看到组织各部门层次基本有相应的管理制度、岗位职责、工作要求等组织内部知识。此外还通过文件发放、会议传达、专题培训等方式进行内部知识的获得、交流和更新等。</w:t>
            </w:r>
          </w:p>
          <w:p>
            <w:pPr>
              <w:spacing w:line="240" w:lineRule="exact"/>
            </w:pPr>
            <w:r>
              <w:rPr>
                <w:rFonts w:hint="eastAsia" w:asciiTheme="minorEastAsia" w:hAnsiTheme="minorEastAsia" w:eastAsiaTheme="minorEastAsia" w:cstheme="minorEastAsia"/>
                <w:szCs w:val="21"/>
              </w:rPr>
              <w:t xml:space="preserve">    组织知识在部门管理基本符合标准要求。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400" w:lineRule="exact"/>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color w:val="auto"/>
                <w:szCs w:val="21"/>
                <w:highlight w:val="none"/>
              </w:rPr>
              <w:t>消防栓、灭火器</w:t>
            </w:r>
            <w:r>
              <w:rPr>
                <w:rFonts w:hint="eastAsia"/>
                <w:color w:val="auto"/>
                <w:szCs w:val="21"/>
                <w:highlight w:val="none"/>
                <w:lang w:val="en-US" w:eastAsia="zh-CN"/>
              </w:rPr>
              <w:t>若干，</w:t>
            </w:r>
            <w:r>
              <w:rPr>
                <w:rFonts w:hint="eastAsia"/>
                <w:color w:val="auto"/>
                <w:szCs w:val="21"/>
                <w:highlight w:val="none"/>
              </w:rPr>
              <w:t>配电箱</w:t>
            </w:r>
            <w:r>
              <w:rPr>
                <w:rFonts w:hint="eastAsia"/>
                <w:color w:val="auto"/>
                <w:szCs w:val="21"/>
                <w:highlight w:val="none"/>
                <w:lang w:eastAsia="zh-CN"/>
              </w:rPr>
              <w:t>无异常。</w:t>
            </w:r>
          </w:p>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400" w:lineRule="exact"/>
            </w:pPr>
            <w:r>
              <w:rPr>
                <w:rFonts w:hint="eastAsia" w:ascii="宋体" w:hAnsi="宋体"/>
                <w:b/>
                <w:color w:val="000000" w:themeColor="text1"/>
                <w:sz w:val="20"/>
                <w:szCs w:val="20"/>
              </w:rPr>
              <w:t>职业健康安全设施：</w:t>
            </w:r>
            <w:r>
              <w:rPr>
                <w:rFonts w:hint="eastAsia"/>
                <w:color w:val="auto"/>
                <w:szCs w:val="21"/>
                <w:highlight w:val="none"/>
              </w:rPr>
              <w:t>消防栓、灭火器</w:t>
            </w:r>
            <w:r>
              <w:rPr>
                <w:rFonts w:hint="eastAsia"/>
                <w:color w:val="auto"/>
                <w:szCs w:val="21"/>
                <w:highlight w:val="none"/>
                <w:lang w:val="en-US" w:eastAsia="zh-CN"/>
              </w:rPr>
              <w:t>若干，</w:t>
            </w:r>
            <w:r>
              <w:rPr>
                <w:rFonts w:hint="eastAsia"/>
                <w:color w:val="auto"/>
                <w:szCs w:val="21"/>
                <w:highlight w:val="none"/>
              </w:rPr>
              <w:t>配电箱</w:t>
            </w:r>
            <w:r>
              <w:rPr>
                <w:rFonts w:hint="eastAsia"/>
                <w:color w:val="auto"/>
                <w:szCs w:val="21"/>
                <w:highlight w:val="none"/>
                <w:lang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leftChars="0"/>
              <w:rPr>
                <w:b/>
                <w:color w:val="000000" w:themeColor="text1"/>
                <w:sz w:val="20"/>
                <w:szCs w:val="20"/>
              </w:rPr>
            </w:pPr>
            <w:r>
              <w:rPr>
                <w:rFonts w:hint="eastAsia" w:asciiTheme="minorEastAsia" w:hAnsiTheme="minorEastAsia" w:eastAsiaTheme="minorEastAsia" w:cstheme="minorEastAsia"/>
                <w:sz w:val="21"/>
                <w:szCs w:val="21"/>
              </w:rPr>
              <w:t>通过</w:t>
            </w:r>
            <w:r>
              <w:rPr>
                <w:rFonts w:hint="eastAsia"/>
              </w:rPr>
              <w:t>方针的管理职责评审</w:t>
            </w:r>
            <w:r>
              <w:rPr>
                <w:rFonts w:hint="eastAsia" w:asciiTheme="minorEastAsia" w:hAnsiTheme="minorEastAsia" w:eastAsiaTheme="minorEastAsia" w:cstheme="minorEastAsia"/>
                <w:sz w:val="21"/>
                <w:szCs w:val="21"/>
              </w:rPr>
              <w:t>，最终得出本公司管理体系是适宜的、充分的、有效的，方针和目标是适宜的和有效的</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公司和部门负责人清楚公司及各部门与</w:t>
            </w:r>
            <w:r>
              <w:rPr>
                <w:rFonts w:hint="eastAsia" w:cs="宋体" w:asciiTheme="minorEastAsia" w:hAnsiTheme="minorEastAsia" w:eastAsiaTheme="minorEastAsia"/>
                <w:szCs w:val="21"/>
                <w:lang w:val="en-US" w:eastAsia="zh-CN"/>
              </w:rPr>
              <w:t>体系</w:t>
            </w:r>
            <w:r>
              <w:rPr>
                <w:rFonts w:hint="eastAsia" w:cs="宋体" w:asciiTheme="minorEastAsia" w:hAnsiTheme="minorEastAsia" w:eastAsiaTheme="minorEastAsia"/>
                <w:szCs w:val="21"/>
              </w:rPr>
              <w:t>相关的内部沟通和外部信息交流的项目、内容等。如：公布、公开质量方针和质量目标、与客户（监理方）、外部供方等相关产品和服务的沟通等。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--主要的事项内、外沟通均事先做出策划或规定</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内容包括：沟通事项、沟通的职责、沟通对象、沟通内容、沟通时机、沟通方式等等。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--通常的沟通方式包括但不限于：会议、文件、改善提案、通告、内部联络书、内部电脑网络、培训、拜访、交谈、提交报告等。</w:t>
            </w:r>
          </w:p>
          <w:p>
            <w:pPr>
              <w:spacing w:line="240" w:lineRule="exact"/>
              <w:rPr>
                <w:rFonts w:ascii="楷体_GB2312" w:eastAsia="楷体_GB2312"/>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9"/>
              <w:numPr>
                <w:ilvl w:val="0"/>
                <w:numId w:val="5"/>
              </w:numPr>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范围：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Q：预制钢筋混凝土构件生产(资质范围内除外)</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E：预制钢筋混凝土构件生产(资质范围内除外)所涉及的相关环境管理活动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O：预制钢筋混凝土构件生产(资质范围内除外)所涉及的相关职业健康安全管理活动</w:t>
            </w:r>
          </w:p>
          <w:p>
            <w:pPr>
              <w:spacing w:line="360" w:lineRule="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Q8.3不适用：</w:t>
            </w:r>
            <w:r>
              <w:rPr>
                <w:rFonts w:hint="eastAsia" w:ascii="宋体" w:hAnsi="宋体"/>
                <w:b/>
                <w:bCs/>
                <w:sz w:val="21"/>
                <w:szCs w:val="21"/>
              </w:rPr>
              <w:t>产品按国家标准或客户要求生产制造，不涉及设计研发，故公司目前不适用 “8.3  产品和服务的设计和开发”条款。不适用的要求不影响组织确保产品和服务的符合性以及增强顾客满意的能力或责任。</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2产品主要执行标准摘抄</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混凝土GB/T</w:t>
            </w:r>
            <w:r>
              <w:rPr>
                <w:rFonts w:hint="eastAsia" w:asciiTheme="minorEastAsia" w:hAnsiTheme="minorEastAsia" w:eastAsiaTheme="minorEastAsia" w:cstheme="minorEastAsia"/>
                <w:color w:val="auto"/>
                <w:sz w:val="21"/>
                <w:szCs w:val="21"/>
                <w:lang w:val="en-US" w:eastAsia="zh-CN"/>
              </w:rPr>
              <w:t>50081-2002</w:t>
            </w:r>
            <w:r>
              <w:rPr>
                <w:rFonts w:hint="eastAsia" w:asciiTheme="minorEastAsia" w:hAnsiTheme="minorEastAsia" w:eastAsiaTheme="minorEastAsia" w:cstheme="minorEastAsia"/>
                <w:color w:val="auto"/>
                <w:sz w:val="21"/>
                <w:szCs w:val="21"/>
              </w:rPr>
              <w:t xml:space="preserve"> </w:t>
            </w:r>
          </w:p>
          <w:p>
            <w:pPr>
              <w:pStyle w:val="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预拌混凝土GB/T 14902-2012 </w:t>
            </w:r>
          </w:p>
          <w:p>
            <w:pPr>
              <w:pStyle w:val="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混凝土质量控制标准</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GB50164</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混凝土强度检验评定标准</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GB/T 50107</w:t>
            </w:r>
          </w:p>
          <w:p>
            <w:pPr>
              <w:pStyle w:val="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主席令第6号</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中华人民共和国消防法</w:t>
            </w:r>
          </w:p>
          <w:p>
            <w:pPr>
              <w:pStyle w:val="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主席令第22号</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中华人民共和国环境保护法</w:t>
            </w:r>
          </w:p>
          <w:p>
            <w:pPr>
              <w:pStyle w:val="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主席令第70号</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中华人民共和国安全生产法</w:t>
            </w:r>
          </w:p>
          <w:p>
            <w:pPr>
              <w:pStyle w:val="2"/>
              <w:spacing w:line="360" w:lineRule="auto"/>
              <w:rPr>
                <w:rFonts w:hint="eastAsia" w:asciiTheme="minorEastAsia" w:hAnsiTheme="minorEastAsia" w:eastAsiaTheme="minorEastAsia" w:cstheme="minorEastAsia"/>
                <w:color w:val="auto"/>
                <w:sz w:val="21"/>
                <w:szCs w:val="21"/>
              </w:rPr>
            </w:pPr>
            <w:r>
              <w:rPr>
                <w:rFonts w:hint="default" w:ascii="Arial" w:hAnsi="Arial" w:cs="Arial" w:eastAsiaTheme="minorEastAsia"/>
                <w:color w:val="auto"/>
                <w:sz w:val="21"/>
                <w:szCs w:val="21"/>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bCs/>
                <w:sz w:val="21"/>
                <w:szCs w:val="21"/>
              </w:rPr>
              <w:t>流程：顾客沟通—合同评审—合同/订单签订—产品采购—产品</w:t>
            </w:r>
            <w:r>
              <w:rPr>
                <w:rFonts w:hint="eastAsia" w:asciiTheme="minorEastAsia" w:hAnsiTheme="minorEastAsia" w:eastAsiaTheme="minorEastAsia" w:cstheme="minorEastAsia"/>
                <w:bCs/>
                <w:sz w:val="21"/>
                <w:szCs w:val="21"/>
                <w:lang w:eastAsia="zh-CN"/>
              </w:rPr>
              <w:t>制作</w:t>
            </w:r>
            <w:r>
              <w:rPr>
                <w:rFonts w:hint="eastAsia" w:asciiTheme="minorEastAsia" w:hAnsiTheme="minorEastAsia" w:eastAsiaTheme="minorEastAsia" w:cstheme="minorEastAsia"/>
                <w:bCs/>
                <w:sz w:val="21"/>
                <w:szCs w:val="21"/>
              </w:rPr>
              <w:t>—交付—售后服务</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sz w:val="21"/>
                <w:szCs w:val="21"/>
              </w:rPr>
              <w:t>产品生产工艺/服务提供流程为：</w:t>
            </w:r>
          </w:p>
          <w:p>
            <w:pPr>
              <w:spacing w:line="360" w:lineRule="auto"/>
              <w:ind w:firstLine="630" w:firstLineChars="3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购货（需方）单位提出委托和</w:t>
            </w:r>
            <w:r>
              <w:rPr>
                <w:rFonts w:hint="eastAsia" w:asciiTheme="minorEastAsia" w:hAnsiTheme="minorEastAsia" w:eastAsiaTheme="minorEastAsia" w:cstheme="minorEastAsia"/>
                <w:sz w:val="21"/>
                <w:szCs w:val="21"/>
                <w:lang w:eastAsia="zh-CN"/>
              </w:rPr>
              <w:t>钢筋</w:t>
            </w:r>
            <w:r>
              <w:rPr>
                <w:rFonts w:hint="eastAsia" w:asciiTheme="minorEastAsia" w:hAnsiTheme="minorEastAsia" w:eastAsiaTheme="minorEastAsia" w:cstheme="minorEastAsia"/>
                <w:sz w:val="21"/>
                <w:szCs w:val="21"/>
              </w:rPr>
              <w:t>混凝土</w:t>
            </w:r>
            <w:r>
              <w:rPr>
                <w:rFonts w:hint="eastAsia" w:asciiTheme="minorEastAsia" w:hAnsiTheme="minorEastAsia" w:eastAsiaTheme="minorEastAsia" w:cstheme="minorEastAsia"/>
                <w:sz w:val="21"/>
                <w:szCs w:val="21"/>
                <w:lang w:eastAsia="zh-CN"/>
              </w:rPr>
              <w:t>盖板</w:t>
            </w:r>
            <w:r>
              <w:rPr>
                <w:rFonts w:hint="eastAsia" w:asciiTheme="minorEastAsia" w:hAnsiTheme="minorEastAsia" w:eastAsiaTheme="minorEastAsia" w:cstheme="minorEastAsia"/>
                <w:sz w:val="21"/>
                <w:szCs w:val="21"/>
              </w:rPr>
              <w:t>质量技术要求→双方签订供需合同并明确双方责任→下达生产任务→</w:t>
            </w:r>
            <w:r>
              <w:rPr>
                <w:rFonts w:hint="eastAsia" w:asciiTheme="minorEastAsia" w:hAnsiTheme="minorEastAsia" w:eastAsiaTheme="minorEastAsia" w:cstheme="minorEastAsia"/>
                <w:sz w:val="21"/>
                <w:szCs w:val="21"/>
                <w:lang w:eastAsia="zh-CN"/>
              </w:rPr>
              <w:t>焊接钢筋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混凝土配料搅拌</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灌装模具</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振捣成型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养护</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出厂</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售后</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关键</w:t>
            </w:r>
            <w:r>
              <w:rPr>
                <w:rFonts w:hint="eastAsia" w:asciiTheme="minorEastAsia" w:hAnsiTheme="minorEastAsia" w:eastAsiaTheme="minorEastAsia" w:cstheme="minorEastAsia"/>
                <w:sz w:val="21"/>
                <w:szCs w:val="21"/>
                <w:lang w:eastAsia="zh-CN"/>
              </w:rPr>
              <w:t>过程：混凝土配料搅拌</w:t>
            </w:r>
            <w:r>
              <w:rPr>
                <w:rFonts w:hint="eastAsia" w:asciiTheme="minorEastAsia" w:hAnsiTheme="minorEastAsia" w:eastAsiaTheme="minorEastAsia" w:cstheme="minorEastAsia"/>
                <w:b w:val="0"/>
                <w:bCs w:val="0"/>
                <w:color w:val="auto"/>
                <w:sz w:val="21"/>
                <w:szCs w:val="21"/>
              </w:rPr>
              <w:t>和</w:t>
            </w:r>
            <w:r>
              <w:rPr>
                <w:rFonts w:hint="eastAsia" w:asciiTheme="minorEastAsia" w:hAnsiTheme="minorEastAsia" w:eastAsiaTheme="minorEastAsia" w:cstheme="minorEastAsia"/>
                <w:sz w:val="21"/>
                <w:szCs w:val="21"/>
                <w:lang w:eastAsia="zh-CN"/>
              </w:rPr>
              <w:t>振捣成型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特殊过程：焊接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为实现产品质量目标配置了相应人员（如商品混凝土的生产、销售的生产和销售服务人员：技术人员均为大专或以上学历、试验室人员持有操作作业证书、上岗前经过岗前培训，销售人员及生产人员均经过专业培训等)，</w:t>
            </w:r>
          </w:p>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bCs/>
                <w:sz w:val="21"/>
                <w:szCs w:val="21"/>
              </w:rPr>
              <w:t>生产设备：见7.1.3记录条款。</w:t>
            </w:r>
          </w:p>
          <w:p>
            <w:pPr>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监测资源：提供检定合格证书（见附件）。</w:t>
            </w:r>
          </w:p>
          <w:p>
            <w:pPr>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办公设备：电脑、打印机、传真机、电话等。提供维修保养计划及记录，满足要求。</w:t>
            </w:r>
          </w:p>
          <w:p>
            <w:pPr>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环保设施包括：垃圾桶、消防设施；</w:t>
            </w:r>
          </w:p>
          <w:p>
            <w:pPr>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安全设施配置主要有：标识牌、灭火器、消防器材等，</w:t>
            </w:r>
            <w:r>
              <w:rPr>
                <w:rFonts w:hint="eastAsia" w:asciiTheme="minorEastAsia" w:hAnsiTheme="minorEastAsia" w:eastAsiaTheme="minorEastAsia" w:cstheme="minorEastAsia"/>
                <w:bCs/>
                <w:sz w:val="21"/>
                <w:szCs w:val="21"/>
                <w:lang w:eastAsia="zh-CN"/>
              </w:rPr>
              <w:t>生技部</w:t>
            </w:r>
            <w:r>
              <w:rPr>
                <w:rFonts w:hint="eastAsia" w:asciiTheme="minorEastAsia" w:hAnsiTheme="minorEastAsia" w:eastAsiaTheme="minorEastAsia" w:cstheme="minorEastAsia"/>
                <w:bCs/>
                <w:sz w:val="21"/>
                <w:szCs w:val="21"/>
              </w:rPr>
              <w:t>定期维护与保养。</w:t>
            </w:r>
          </w:p>
          <w:p>
            <w:pPr>
              <w:pStyle w:val="14"/>
              <w:numPr>
                <w:ilvl w:val="0"/>
                <w:numId w:val="6"/>
              </w:numPr>
              <w:spacing w:line="360" w:lineRule="auto"/>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编制了相应的作业文件：</w:t>
            </w:r>
          </w:p>
          <w:p>
            <w:pPr>
              <w:numPr>
                <w:ilvl w:val="3"/>
                <w:numId w:val="0"/>
              </w:numPr>
              <w:spacing w:line="360" w:lineRule="auto"/>
              <w:ind w:left="420" w:left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物料配比（称重）和搅拌 作业指导书</w:t>
            </w:r>
          </w:p>
          <w:p>
            <w:pPr>
              <w:numPr>
                <w:ilvl w:val="3"/>
                <w:numId w:val="0"/>
              </w:numPr>
              <w:spacing w:line="360" w:lineRule="auto"/>
              <w:ind w:left="420" w:left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搅拌楼操作安全规程 </w:t>
            </w:r>
          </w:p>
          <w:p>
            <w:pPr>
              <w:numPr>
                <w:ilvl w:val="3"/>
                <w:numId w:val="0"/>
              </w:numPr>
              <w:spacing w:line="360" w:lineRule="auto"/>
              <w:ind w:left="420" w:left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DGQC01水泥检验规程</w:t>
            </w:r>
          </w:p>
          <w:p>
            <w:pPr>
              <w:numPr>
                <w:ilvl w:val="3"/>
                <w:numId w:val="0"/>
              </w:numPr>
              <w:spacing w:line="360" w:lineRule="auto"/>
              <w:ind w:left="420" w:left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DG/QCO27建筑用砂检验规程</w:t>
            </w:r>
          </w:p>
          <w:p>
            <w:pPr>
              <w:numPr>
                <w:ilvl w:val="3"/>
                <w:numId w:val="0"/>
              </w:numPr>
              <w:spacing w:line="360" w:lineRule="auto"/>
              <w:ind w:left="420" w:left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DGQC03建筑用卵石、碎石检验规程</w:t>
            </w:r>
          </w:p>
          <w:p>
            <w:pPr>
              <w:numPr>
                <w:ilvl w:val="3"/>
                <w:numId w:val="0"/>
              </w:numPr>
              <w:spacing w:line="360" w:lineRule="auto"/>
              <w:ind w:left="420" w:left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DGQC012混凝土及原材料抽样方法</w:t>
            </w:r>
          </w:p>
          <w:p>
            <w:pPr>
              <w:numPr>
                <w:ilvl w:val="3"/>
                <w:numId w:val="0"/>
              </w:numPr>
              <w:spacing w:line="360" w:lineRule="auto"/>
              <w:ind w:left="420" w:left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DGQC014计量仪器设备自校规程</w:t>
            </w:r>
          </w:p>
          <w:p>
            <w:pPr>
              <w:numPr>
                <w:ilvl w:val="3"/>
                <w:numId w:val="0"/>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9.接收准则:依据验收交付规范、合同、相关标准、用户要求等进行接收，以保证交付的产品满足要求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10、记录：策划有委托设计合同、内部审核检查表、首末次会议记录、特殊过程确认记录、生产过程记录、检验记录等，基本满足产品实现需要。</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1、</w:t>
            </w:r>
            <w:r>
              <w:rPr>
                <w:rFonts w:hint="eastAsia" w:asciiTheme="minorEastAsia" w:hAnsiTheme="minorEastAsia" w:eastAsiaTheme="minorEastAsia" w:cstheme="minorEastAsia"/>
                <w:color w:val="auto"/>
                <w:sz w:val="21"/>
                <w:szCs w:val="21"/>
              </w:rPr>
              <w:t>查（1）20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2-4</w:t>
            </w:r>
            <w:r>
              <w:rPr>
                <w:rFonts w:hint="eastAsia" w:asciiTheme="minorEastAsia" w:hAnsiTheme="minorEastAsia" w:eastAsiaTheme="minorEastAsia" w:cstheme="minorEastAsia"/>
                <w:color w:val="auto"/>
                <w:sz w:val="21"/>
                <w:szCs w:val="21"/>
              </w:rPr>
              <w:t>月生产任务计划、生产计划根据销售合同和以往经验进行排产，见客户名称、生产型号规格、数量、交货日期等；同时查到了下发的物料配比（称重）、</w:t>
            </w:r>
            <w:r>
              <w:rPr>
                <w:rFonts w:hint="eastAsia" w:asciiTheme="minorEastAsia" w:hAnsiTheme="minorEastAsia" w:eastAsiaTheme="minorEastAsia" w:cstheme="minorEastAsia"/>
                <w:color w:val="auto"/>
                <w:sz w:val="21"/>
                <w:szCs w:val="21"/>
                <w:lang w:eastAsia="zh-CN"/>
              </w:rPr>
              <w:t>钢筋工按照图集焊接钢筋、</w:t>
            </w:r>
            <w:r>
              <w:rPr>
                <w:rFonts w:hint="eastAsia" w:asciiTheme="minorEastAsia" w:hAnsiTheme="minorEastAsia" w:eastAsiaTheme="minorEastAsia" w:cstheme="minorEastAsia"/>
                <w:color w:val="auto"/>
                <w:sz w:val="21"/>
                <w:szCs w:val="21"/>
              </w:rPr>
              <w:t>生产作业指导书和质量检验指导书</w:t>
            </w:r>
            <w:r>
              <w:rPr>
                <w:rFonts w:hint="eastAsia" w:asciiTheme="minorEastAsia" w:hAnsiTheme="minorEastAsia" w:eastAsiaTheme="minorEastAsia" w:cstheme="minorEastAsia"/>
                <w:bCs/>
                <w:color w:val="auto"/>
                <w:sz w:val="21"/>
                <w:szCs w:val="21"/>
              </w:rPr>
              <w:t>。</w:t>
            </w:r>
          </w:p>
          <w:p>
            <w:pPr>
              <w:numPr>
                <w:ilvl w:val="0"/>
                <w:numId w:val="7"/>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基础设施和工作环境、设备的保养、设备的检修等内容。主要设备日常生产中能够保证质量和效率，配备的设备是适宜的。</w:t>
            </w:r>
          </w:p>
          <w:p>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机械类的重点做好特殊过程管控、仪器仪表类的关键过程为调试重点做好流量、位置等的调试指标；销售重点做好业务洽谈（谈话的方式方法内容等）。 </w:t>
            </w:r>
          </w:p>
          <w:p>
            <w:pPr>
              <w:numPr>
                <w:ilvl w:val="0"/>
                <w:numId w:val="7"/>
              </w:numPr>
              <w:spacing w:line="360" w:lineRule="auto"/>
              <w:ind w:left="0" w:leftChars="0" w:firstLine="0" w:firstLineChars="0"/>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公司质量手册规定：</w:t>
            </w:r>
            <w:r>
              <w:rPr>
                <w:rFonts w:hint="eastAsia" w:asciiTheme="minorEastAsia" w:hAnsiTheme="minorEastAsia" w:eastAsiaTheme="minorEastAsia" w:cstheme="minorEastAsia"/>
                <w:sz w:val="21"/>
                <w:szCs w:val="21"/>
              </w:rPr>
              <w:t>关键</w:t>
            </w:r>
            <w:r>
              <w:rPr>
                <w:rFonts w:hint="eastAsia" w:asciiTheme="minorEastAsia" w:hAnsiTheme="minorEastAsia" w:eastAsiaTheme="minorEastAsia" w:cstheme="minorEastAsia"/>
                <w:sz w:val="21"/>
                <w:szCs w:val="21"/>
                <w:lang w:eastAsia="zh-CN"/>
              </w:rPr>
              <w:t>过程：混凝土配料搅拌</w:t>
            </w:r>
            <w:r>
              <w:rPr>
                <w:rFonts w:hint="eastAsia" w:asciiTheme="minorEastAsia" w:hAnsiTheme="minorEastAsia" w:eastAsiaTheme="minorEastAsia" w:cstheme="minorEastAsia"/>
                <w:b w:val="0"/>
                <w:bCs w:val="0"/>
                <w:color w:val="auto"/>
                <w:sz w:val="21"/>
                <w:szCs w:val="21"/>
              </w:rPr>
              <w:t>和</w:t>
            </w:r>
            <w:r>
              <w:rPr>
                <w:rFonts w:hint="eastAsia" w:asciiTheme="minorEastAsia" w:hAnsiTheme="minorEastAsia" w:eastAsiaTheme="minorEastAsia" w:cstheme="minorEastAsia"/>
                <w:sz w:val="21"/>
                <w:szCs w:val="21"/>
                <w:lang w:eastAsia="zh-CN"/>
              </w:rPr>
              <w:t>振捣成型；特殊过程：焊接</w:t>
            </w:r>
          </w:p>
          <w:p>
            <w:pPr>
              <w:numPr>
                <w:ilvl w:val="0"/>
                <w:numId w:val="0"/>
              </w:numPr>
              <w:spacing w:line="360" w:lineRule="auto"/>
              <w:ind w:leftChars="0" w:firstLine="420" w:firstLineChars="200"/>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关键过程：</w:t>
            </w:r>
            <w:r>
              <w:rPr>
                <w:rFonts w:hint="eastAsia" w:asciiTheme="minorEastAsia" w:hAnsiTheme="minorEastAsia" w:eastAsiaTheme="minorEastAsia" w:cstheme="minorEastAsia"/>
                <w:sz w:val="21"/>
                <w:szCs w:val="21"/>
                <w:lang w:eastAsia="zh-CN"/>
              </w:rPr>
              <w:t>混凝土配料搅拌</w:t>
            </w:r>
            <w:r>
              <w:rPr>
                <w:rFonts w:hint="eastAsia" w:asciiTheme="minorEastAsia" w:hAnsiTheme="minorEastAsia" w:eastAsiaTheme="minorEastAsia" w:cstheme="minorEastAsia"/>
                <w:b w:val="0"/>
                <w:bCs w:val="0"/>
                <w:color w:val="auto"/>
                <w:sz w:val="21"/>
                <w:szCs w:val="21"/>
              </w:rPr>
              <w:t>和</w:t>
            </w:r>
            <w:r>
              <w:rPr>
                <w:rFonts w:hint="eastAsia" w:asciiTheme="minorEastAsia" w:hAnsiTheme="minorEastAsia" w:eastAsiaTheme="minorEastAsia" w:cstheme="minorEastAsia"/>
                <w:sz w:val="21"/>
                <w:szCs w:val="21"/>
                <w:lang w:eastAsia="zh-CN"/>
              </w:rPr>
              <w:t>振捣成型</w:t>
            </w:r>
            <w:r>
              <w:rPr>
                <w:rFonts w:hint="eastAsia" w:asciiTheme="minorEastAsia" w:hAnsiTheme="minorEastAsia" w:eastAsiaTheme="minorEastAsia" w:cstheme="minorEastAsia"/>
                <w:b w:val="0"/>
                <w:bCs w:val="0"/>
                <w:color w:val="auto"/>
                <w:sz w:val="21"/>
                <w:szCs w:val="21"/>
              </w:rPr>
              <w:t>，针对关键过程建立的控制文件有作业指导书，并规定了确认的工作内容、确认方式、确认结果、确认记录等要求。</w:t>
            </w:r>
          </w:p>
          <w:p>
            <w:pPr>
              <w:spacing w:line="360" w:lineRule="auto"/>
              <w:ind w:firstLine="210" w:firstLineChars="100"/>
              <w:jc w:val="left"/>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生技部</w:t>
            </w:r>
            <w:r>
              <w:rPr>
                <w:rFonts w:hint="eastAsia" w:asciiTheme="minorEastAsia" w:hAnsiTheme="minorEastAsia" w:eastAsiaTheme="minorEastAsia" w:cstheme="minorEastAsia"/>
                <w:b w:val="0"/>
                <w:bCs w:val="0"/>
                <w:color w:val="auto"/>
                <w:sz w:val="21"/>
                <w:szCs w:val="21"/>
              </w:rPr>
              <w:t>负责人述，按要求进行了过程能力确认，查到《过程能力确认表》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（7）查到：进货检验记录、过程检验记录、成品检验报告和检测报告包括各工序检测记录和成品检测项目内容及要求等。（</w:t>
            </w:r>
            <w:r>
              <w:rPr>
                <w:rFonts w:hint="eastAsia" w:asciiTheme="minorEastAsia" w:hAnsiTheme="minorEastAsia" w:eastAsiaTheme="minorEastAsia" w:cstheme="minorEastAsia"/>
                <w:b/>
                <w:sz w:val="21"/>
                <w:szCs w:val="21"/>
              </w:rPr>
              <w:t>过程/出厂检验标准：</w:t>
            </w:r>
            <w:r>
              <w:rPr>
                <w:rFonts w:hint="eastAsia" w:asciiTheme="minorEastAsia" w:hAnsiTheme="minorEastAsia" w:eastAsiaTheme="minorEastAsia" w:cstheme="minorEastAsia"/>
                <w:sz w:val="21"/>
                <w:szCs w:val="21"/>
              </w:rPr>
              <w:t>详见8.1条款）</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部门每月组织对</w:t>
            </w:r>
            <w:r>
              <w:rPr>
                <w:rFonts w:hint="eastAsia" w:asciiTheme="minorEastAsia" w:hAnsiTheme="minorEastAsia" w:eastAsiaTheme="minorEastAsia" w:cstheme="minorEastAsia"/>
                <w:sz w:val="21"/>
                <w:szCs w:val="21"/>
                <w:lang w:eastAsia="zh-CN"/>
              </w:rPr>
              <w:t>生技部</w:t>
            </w:r>
            <w:r>
              <w:rPr>
                <w:rFonts w:hint="eastAsia" w:asciiTheme="minorEastAsia" w:hAnsiTheme="minorEastAsia" w:eastAsiaTheme="minorEastAsia" w:cstheme="minorEastAsia"/>
                <w:sz w:val="21"/>
                <w:szCs w:val="21"/>
              </w:rPr>
              <w:t>工艺纪律的执行情况进行1-2次集中检查，平时随时由主管人员进行现场巡视和检查，对发现的问题对责任者进行处罚，保证了操作者严格按照工艺文件的要求和作业指导书进行操作和过程控制。</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产品交付到客户后，由</w:t>
            </w:r>
            <w:r>
              <w:rPr>
                <w:rFonts w:hint="eastAsia" w:asciiTheme="minorEastAsia" w:hAnsiTheme="minorEastAsia" w:eastAsiaTheme="minorEastAsia" w:cstheme="minorEastAsia"/>
                <w:bCs/>
                <w:sz w:val="21"/>
                <w:szCs w:val="21"/>
              </w:rPr>
              <w:t>供销部部归口负责，</w:t>
            </w:r>
            <w:r>
              <w:rPr>
                <w:rFonts w:hint="eastAsia" w:asciiTheme="minorEastAsia" w:hAnsiTheme="minorEastAsia" w:eastAsiaTheme="minorEastAsia" w:cstheme="minorEastAsia"/>
                <w:bCs/>
                <w:sz w:val="21"/>
                <w:szCs w:val="21"/>
                <w:lang w:eastAsia="zh-CN"/>
              </w:rPr>
              <w:t>生技部</w:t>
            </w:r>
            <w:r>
              <w:rPr>
                <w:rFonts w:hint="eastAsia" w:asciiTheme="minorEastAsia" w:hAnsiTheme="minorEastAsia" w:eastAsiaTheme="minorEastAsia" w:cstheme="minorEastAsia"/>
                <w:bCs/>
                <w:sz w:val="21"/>
                <w:szCs w:val="21"/>
              </w:rPr>
              <w:t>接到供销部的销售合同，进行生产计划，</w:t>
            </w:r>
            <w:r>
              <w:rPr>
                <w:rFonts w:hint="eastAsia" w:asciiTheme="minorEastAsia" w:hAnsiTheme="minorEastAsia" w:eastAsiaTheme="minorEastAsia" w:cstheme="minorEastAsia"/>
                <w:bCs/>
                <w:sz w:val="21"/>
                <w:szCs w:val="21"/>
                <w:lang w:eastAsia="zh-CN"/>
              </w:rPr>
              <w:t>生技部</w:t>
            </w:r>
            <w:r>
              <w:rPr>
                <w:rFonts w:hint="eastAsia" w:asciiTheme="minorEastAsia" w:hAnsiTheme="minorEastAsia" w:eastAsiaTheme="minorEastAsia" w:cstheme="minorEastAsia"/>
                <w:bCs/>
                <w:sz w:val="21"/>
                <w:szCs w:val="21"/>
              </w:rPr>
              <w:t>按计划进行生产。</w:t>
            </w:r>
            <w:r>
              <w:rPr>
                <w:rFonts w:hint="eastAsia" w:asciiTheme="minorEastAsia" w:hAnsiTheme="minorEastAsia" w:eastAsiaTheme="minorEastAsia" w:cstheme="minorEastAsia"/>
                <w:bCs/>
                <w:color w:val="auto"/>
                <w:sz w:val="21"/>
                <w:szCs w:val="21"/>
              </w:rPr>
              <w:t>生产任务通知单有客户名称、工程名称、混凝土使用部位、设计强度等级、交货日期等。</w:t>
            </w:r>
            <w:r>
              <w:rPr>
                <w:rFonts w:hint="eastAsia" w:asciiTheme="minorEastAsia" w:hAnsiTheme="minorEastAsia" w:eastAsiaTheme="minorEastAsia" w:cstheme="minorEastAsia"/>
                <w:bCs/>
                <w:color w:val="auto"/>
                <w:sz w:val="21"/>
                <w:szCs w:val="21"/>
                <w:lang w:eastAsia="zh-CN"/>
              </w:rPr>
              <w:t>生技部</w:t>
            </w:r>
            <w:r>
              <w:rPr>
                <w:rFonts w:hint="eastAsia" w:asciiTheme="minorEastAsia" w:hAnsiTheme="minorEastAsia" w:eastAsiaTheme="minorEastAsia" w:cstheme="minorEastAsia"/>
                <w:bCs/>
                <w:color w:val="auto"/>
                <w:sz w:val="21"/>
                <w:szCs w:val="21"/>
              </w:rPr>
              <w:t>负责人签字下发</w:t>
            </w:r>
          </w:p>
          <w:p>
            <w:pPr>
              <w:numPr>
                <w:ilvl w:val="0"/>
                <w:numId w:val="8"/>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auto"/>
                <w:sz w:val="21"/>
                <w:szCs w:val="21"/>
              </w:rPr>
              <w:t>查进货检验记录:</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bCs/>
                <w:color w:val="auto"/>
                <w:sz w:val="21"/>
                <w:szCs w:val="21"/>
              </w:rPr>
              <w:t>抽查进货检验记录和库房入库单</w:t>
            </w:r>
          </w:p>
          <w:p>
            <w:pP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sz w:val="21"/>
                <w:szCs w:val="21"/>
              </w:rPr>
              <w:t>2</w:t>
            </w:r>
            <w:r>
              <w:rPr>
                <w:rFonts w:hint="eastAsia" w:asciiTheme="minorEastAsia" w:hAnsiTheme="minorEastAsia" w:eastAsiaTheme="minorEastAsia" w:cstheme="minorEastAsia"/>
                <w:b/>
                <w:color w:val="auto"/>
                <w:sz w:val="21"/>
                <w:szCs w:val="21"/>
              </w:rPr>
              <w:t>、第三方对原材料的检验报告</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auto"/>
                <w:sz w:val="21"/>
                <w:szCs w:val="21"/>
              </w:rPr>
              <w:t>3、抽查</w:t>
            </w:r>
            <w:r>
              <w:rPr>
                <w:rFonts w:hint="eastAsia" w:asciiTheme="minorEastAsia" w:hAnsiTheme="minorEastAsia" w:eastAsiaTheme="minorEastAsia" w:cstheme="minorEastAsia"/>
                <w:b/>
                <w:bCs/>
                <w:color w:val="auto"/>
                <w:sz w:val="21"/>
                <w:szCs w:val="21"/>
              </w:rPr>
              <w:t>出厂检验记录</w:t>
            </w:r>
          </w:p>
          <w:p>
            <w:pPr>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sz w:val="21"/>
                <w:szCs w:val="21"/>
              </w:rPr>
              <w:t>4、第</w:t>
            </w:r>
            <w:r>
              <w:rPr>
                <w:rFonts w:hint="eastAsia" w:asciiTheme="minorEastAsia" w:hAnsiTheme="minorEastAsia" w:eastAsiaTheme="minorEastAsia" w:cstheme="minorEastAsia"/>
                <w:b/>
                <w:bCs/>
                <w:color w:val="auto"/>
                <w:sz w:val="21"/>
                <w:szCs w:val="21"/>
              </w:rPr>
              <w:t>三方检验报告：</w:t>
            </w:r>
          </w:p>
          <w:p>
            <w:pPr>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检测单位：</w:t>
            </w:r>
            <w:r>
              <w:rPr>
                <w:rFonts w:hint="eastAsia" w:asciiTheme="minorEastAsia" w:hAnsiTheme="minorEastAsia" w:eastAsiaTheme="minorEastAsia" w:cstheme="minorEastAsia"/>
                <w:bCs/>
                <w:color w:val="auto"/>
                <w:sz w:val="21"/>
                <w:szCs w:val="21"/>
                <w:lang w:eastAsia="zh-CN"/>
              </w:rPr>
              <w:t>滦县诚信工程检测有限公司</w:t>
            </w:r>
            <w:r>
              <w:rPr>
                <w:rFonts w:hint="eastAsia" w:asciiTheme="minorEastAsia" w:hAnsiTheme="minorEastAsia" w:eastAsiaTheme="minorEastAsia" w:cstheme="minorEastAsia"/>
                <w:bCs/>
                <w:color w:val="auto"/>
                <w:sz w:val="21"/>
                <w:szCs w:val="21"/>
              </w:rPr>
              <w:t xml:space="preserve">  </w:t>
            </w:r>
            <w:r>
              <w:rPr>
                <w:rFonts w:hint="eastAsia" w:asciiTheme="minorEastAsia" w:hAnsiTheme="minorEastAsia" w:eastAsiaTheme="minorEastAsia" w:cstheme="minorEastAsia"/>
                <w:bCs/>
                <w:color w:val="auto"/>
                <w:sz w:val="21"/>
                <w:szCs w:val="21"/>
                <w:lang w:val="en-US" w:eastAsia="zh-CN"/>
              </w:rPr>
              <w:t>MA2012030665M</w:t>
            </w:r>
            <w:r>
              <w:rPr>
                <w:rFonts w:hint="eastAsia" w:asciiTheme="minorEastAsia" w:hAnsiTheme="minorEastAsia" w:eastAsiaTheme="minorEastAsia" w:cstheme="minorEastAsia"/>
                <w:bCs/>
                <w:color w:val="auto"/>
                <w:sz w:val="21"/>
                <w:szCs w:val="21"/>
              </w:rPr>
              <w:t xml:space="preserve">    </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报告名称：混凝土抗压强度检验报告    强度等级（包括抗渗）：C</w:t>
            </w: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rPr>
              <w:t xml:space="preserve">   养护方式：标准养护   委托检验</w:t>
            </w:r>
          </w:p>
          <w:p>
            <w:pPr>
              <w:jc w:val="left"/>
              <w:rPr>
                <w:b/>
                <w:color w:val="000000" w:themeColor="text1"/>
                <w:sz w:val="20"/>
                <w:szCs w:val="20"/>
              </w:rPr>
            </w:pPr>
            <w:r>
              <w:rPr>
                <w:rFonts w:hint="eastAsia" w:asciiTheme="minorEastAsia" w:hAnsiTheme="minorEastAsia" w:eastAsiaTheme="minorEastAsia" w:cstheme="minorEastAsia"/>
                <w:color w:val="auto"/>
                <w:sz w:val="21"/>
                <w:szCs w:val="21"/>
              </w:rPr>
              <w:t>以上式样检验结论：全部合格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eastAsia="宋体"/>
                <w:b/>
                <w:color w:val="000000" w:themeColor="text1"/>
                <w:sz w:val="20"/>
                <w:szCs w:val="20"/>
                <w:lang w:eastAsia="zh-CN"/>
              </w:rPr>
            </w:pPr>
            <w:r>
              <w:rPr>
                <w:rFonts w:hint="eastAsia"/>
                <w:b/>
                <w:color w:val="000000" w:themeColor="text1"/>
                <w:sz w:val="20"/>
                <w:szCs w:val="20"/>
              </w:rPr>
              <w:t>5 .QMS国家/地方技术监督部门监测（检测、委托检测、定期监测、型式试验等）、抽查结果</w:t>
            </w:r>
            <w:r>
              <w:rPr>
                <w:rFonts w:hint="eastAsia"/>
                <w:b/>
                <w:color w:val="000000" w:themeColor="text1"/>
                <w:sz w:val="20"/>
                <w:szCs w:val="20"/>
                <w:lang w:eastAsia="zh-CN"/>
              </w:rPr>
              <w:t>：见上</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360" w:lineRule="auto"/>
              <w:rPr>
                <w:rFonts w:ascii="宋体" w:hAnsi="宋体" w:cs="宋体"/>
                <w:color w:val="auto"/>
                <w:szCs w:val="21"/>
              </w:rPr>
            </w:pPr>
            <w:r>
              <w:rPr>
                <w:rFonts w:hint="eastAsia" w:ascii="宋体" w:hAnsi="宋体" w:cs="宋体"/>
                <w:color w:val="auto"/>
                <w:szCs w:val="21"/>
              </w:rPr>
              <w:t>1、公司制定有不合格品控制程序，以实施对生产全过程不合格品处置的控制。生产过程中未发现不合格，倘若发生，执行不合格品控制程序。</w:t>
            </w:r>
          </w:p>
          <w:p>
            <w:pPr>
              <w:spacing w:line="360" w:lineRule="auto"/>
              <w:rPr>
                <w:rFonts w:ascii="宋体" w:hAnsi="宋体" w:cs="宋体"/>
                <w:color w:val="auto"/>
                <w:szCs w:val="21"/>
              </w:rPr>
            </w:pPr>
            <w:r>
              <w:rPr>
                <w:rFonts w:hint="eastAsia" w:ascii="宋体" w:hAnsi="宋体" w:cs="宋体"/>
                <w:color w:val="auto"/>
                <w:szCs w:val="21"/>
              </w:rPr>
              <w:t xml:space="preserve">    采购材料发现不合格时，通知采购人员，对不合格的采购材料进行隔离，一般情况下进行退货处理，未发生过让步使用的情况。</w:t>
            </w:r>
          </w:p>
          <w:p>
            <w:pPr>
              <w:spacing w:line="360" w:lineRule="auto"/>
              <w:rPr>
                <w:rFonts w:ascii="宋体" w:hAnsi="宋体" w:cs="宋体"/>
                <w:color w:val="auto"/>
                <w:szCs w:val="21"/>
              </w:rPr>
            </w:pPr>
            <w:r>
              <w:rPr>
                <w:rFonts w:hint="eastAsia" w:ascii="宋体" w:hAnsi="宋体" w:cs="宋体"/>
                <w:color w:val="auto"/>
                <w:szCs w:val="21"/>
              </w:rPr>
              <w:t>2、 经了解，未发生让步接收的情况。</w:t>
            </w:r>
          </w:p>
          <w:p>
            <w:pPr>
              <w:spacing w:line="240" w:lineRule="exact"/>
              <w:rPr>
                <w:b/>
                <w:color w:val="000000" w:themeColor="text1"/>
                <w:sz w:val="20"/>
                <w:szCs w:val="20"/>
              </w:rPr>
            </w:pPr>
            <w:r>
              <w:rPr>
                <w:rFonts w:hint="eastAsia" w:ascii="宋体" w:hAnsi="宋体" w:cs="宋体"/>
                <w:color w:val="auto"/>
                <w:szCs w:val="21"/>
              </w:rPr>
              <w:t>3、经了解，目前尚未发生交付后或使用后才发现的产品不合格情况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6" w:hRule="atLeast"/>
          <w:jc w:val="center"/>
        </w:trPr>
        <w:tc>
          <w:tcPr>
            <w:tcW w:w="720" w:type="dxa"/>
            <w:vMerge w:val="continue"/>
            <w:vAlign w:val="center"/>
          </w:tcPr>
          <w:p>
            <w:pPr>
              <w:spacing w:line="240" w:lineRule="exact"/>
              <w:jc w:val="center"/>
              <w:rPr>
                <w:b/>
                <w:color w:val="000000" w:themeColor="text1"/>
                <w:szCs w:val="21"/>
              </w:rPr>
            </w:pPr>
          </w:p>
        </w:tc>
        <w:tc>
          <w:tcPr>
            <w:tcW w:w="9198" w:type="dxa"/>
            <w:tcBorders/>
          </w:tcPr>
          <w:p>
            <w:pPr>
              <w:numPr>
                <w:ilvl w:val="0"/>
                <w:numId w:val="9"/>
              </w:numPr>
              <w:spacing w:line="240" w:lineRule="exact"/>
              <w:rPr>
                <w:rFonts w:hint="eastAsia"/>
                <w:b/>
                <w:color w:val="000000" w:themeColor="text1"/>
                <w:sz w:val="20"/>
                <w:szCs w:val="20"/>
                <w:lang w:eastAsia="zh-CN"/>
              </w:rPr>
            </w:pPr>
            <w:r>
              <w:rPr>
                <w:rFonts w:hint="eastAsia"/>
                <w:b/>
                <w:color w:val="000000" w:themeColor="text1"/>
                <w:sz w:val="20"/>
                <w:szCs w:val="20"/>
              </w:rPr>
              <w:t>EMS组织对重要环境因素实施控制的结果</w:t>
            </w:r>
            <w:r>
              <w:rPr>
                <w:rFonts w:hint="eastAsia"/>
                <w:b/>
                <w:color w:val="000000" w:themeColor="text1"/>
                <w:sz w:val="20"/>
                <w:szCs w:val="20"/>
                <w:lang w:eastAsia="zh-CN"/>
              </w:rPr>
              <w:t>，</w:t>
            </w:r>
          </w:p>
          <w:p>
            <w:pPr>
              <w:pStyle w:val="2"/>
              <w:numPr>
                <w:ilvl w:val="0"/>
                <w:numId w:val="9"/>
              </w:numPr>
              <w:rPr>
                <w:rFonts w:hint="eastAsia"/>
                <w:lang w:eastAsia="zh-CN"/>
              </w:rPr>
            </w:pPr>
            <w:r>
              <w:rPr>
                <w:rFonts w:hint="eastAsia"/>
                <w:b/>
                <w:color w:val="000000" w:themeColor="text1"/>
                <w:sz w:val="20"/>
                <w:szCs w:val="20"/>
              </w:rPr>
              <w:t>OHSMS组织对不可接受风险实施控制的结果</w:t>
            </w:r>
          </w:p>
          <w:p>
            <w:pP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重要环境因素的控制，依据公司的相关规定：节能降耗控制程序、废弃物控制程序、大气污染防治控制程序、噪声控制程序、消防管理控制程序等；</w:t>
            </w:r>
          </w:p>
          <w:p>
            <w:pPr>
              <w:numPr>
                <w:ilvl w:val="0"/>
                <w:numId w:val="10"/>
              </w:numP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废水控制：公司生产不产生废水，生产用的冷却水循环使用，不外排，生活污水排入市政污水管网</w:t>
            </w:r>
          </w:p>
          <w:p>
            <w:pPr>
              <w:numPr>
                <w:ilvl w:val="0"/>
                <w:numId w:val="10"/>
              </w:numP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噪声控制：生产设备在安装时就采取了减震处理，设备产生的噪音符合国标标准要求，同时，公司有规定，在办公区内禁止大声喧哗</w:t>
            </w:r>
          </w:p>
          <w:p>
            <w:pPr>
              <w:numPr>
                <w:ilvl w:val="0"/>
                <w:numId w:val="10"/>
              </w:numP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废气控制：生产中的废气及粉尘为清扫地面产生的灰尘，公司采取降尘洒水，通风的办法。见附件环境监测报告</w:t>
            </w:r>
          </w:p>
          <w:p>
            <w:pP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4）固废控制：</w:t>
            </w:r>
          </w:p>
          <w:p>
            <w:pP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固废排放：办公垃圾交环卫部门处理</w:t>
            </w:r>
          </w:p>
          <w:p>
            <w:pPr>
              <w:ind w:firstLine="1050" w:firstLineChars="5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硒鼓墨盒交厂家回收</w:t>
            </w:r>
          </w:p>
          <w:p>
            <w:pPr>
              <w:ind w:firstLine="1050" w:firstLineChars="5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生产固废，收集后重复利用</w:t>
            </w:r>
          </w:p>
          <w:p>
            <w:pP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5）能资源管理：公司规定人走灯灭，人走关水等节能节水措施，并互相监督</w:t>
            </w:r>
          </w:p>
          <w:p>
            <w:pP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6）火灾事故预防：公司配备有灭火器等消防设施，有应急预案，相关人员经过培训。</w:t>
            </w:r>
          </w:p>
          <w:p>
            <w:pP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7）触电：公司专人负责对电箱进行检查和维保，电气线路防护，措施到位。</w:t>
            </w:r>
          </w:p>
          <w:p>
            <w:pP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8）机械伤害：车间悬挂操作规程，人员经过培训，设备定期保养</w:t>
            </w:r>
          </w:p>
          <w:p>
            <w:pP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9）触电：电箱均有防触电标识，人员经过培训</w:t>
            </w:r>
          </w:p>
          <w:p>
            <w:pP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提供人员社保清单：</w:t>
            </w:r>
          </w:p>
          <w:p>
            <w:pP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公司制定了安全生产责任属，制定了安全目标考核制定.</w:t>
            </w:r>
          </w:p>
          <w:p>
            <w:pP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提供员工体检清单</w:t>
            </w:r>
          </w:p>
          <w:p>
            <w:pPr>
              <w:rPr>
                <w:b/>
                <w:color w:val="000000" w:themeColor="text1"/>
                <w:sz w:val="20"/>
                <w:szCs w:val="20"/>
              </w:rPr>
            </w:pPr>
            <w:r>
              <w:rPr>
                <w:rFonts w:hint="eastAsia" w:asciiTheme="minorEastAsia" w:hAnsiTheme="minorEastAsia" w:eastAsiaTheme="minorEastAsia" w:cstheme="minorEastAsia"/>
                <w:bCs/>
                <w:color w:val="auto"/>
                <w:szCs w:val="21"/>
              </w:rPr>
              <w:t>提供员工个人防护清单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r>
              <w:t>1</w:t>
            </w:r>
            <w:r>
              <w:rPr>
                <w:rFonts w:hint="eastAsia" w:cs="宋体"/>
              </w:rPr>
              <w:t>、查策划有《应急准备和响应控制程序》，编制有《火灾事故应急预案》《机械伤害应急预案演练》《物体打击事故现场处置方案》《触电事故应急预案》。</w:t>
            </w:r>
          </w:p>
          <w:p>
            <w:pPr>
              <w:rPr>
                <w:rFonts w:hint="eastAsia" w:cs="宋体"/>
              </w:rPr>
            </w:pPr>
            <w:r>
              <w:t>2</w:t>
            </w:r>
            <w:r>
              <w:rPr>
                <w:rFonts w:hint="eastAsia" w:cs="宋体"/>
              </w:rPr>
              <w:t>、应急准备工作开展以下活动：</w:t>
            </w:r>
          </w:p>
          <w:p>
            <w:r>
              <w:t>提供</w:t>
            </w:r>
            <w:r>
              <w:rPr>
                <w:rFonts w:hint="eastAsia"/>
              </w:rPr>
              <w:t>应急救援演练计划，应急预案评审记录、火灾应急预案演习报告、机械伤害应急预案演练记录</w:t>
            </w:r>
          </w:p>
          <w:p>
            <w:r>
              <w:t>——</w:t>
            </w:r>
            <w:r>
              <w:rPr>
                <w:rFonts w:hint="eastAsia" w:cs="宋体"/>
              </w:rPr>
              <w:t>建立有应急组织，提供出应急组织机构图、消防队人员名单、职责权限规定等。</w:t>
            </w:r>
          </w:p>
          <w:p>
            <w:r>
              <w:t>——</w:t>
            </w:r>
            <w:r>
              <w:rPr>
                <w:rFonts w:hint="eastAsia" w:cs="宋体"/>
              </w:rPr>
              <w:t>配备相应的消防器材。</w:t>
            </w:r>
          </w:p>
          <w:p>
            <w:r>
              <w:t>——</w:t>
            </w:r>
            <w:r>
              <w:rPr>
                <w:rFonts w:hint="eastAsia" w:cs="宋体"/>
              </w:rPr>
              <w:t>进行消防常识和能力的培训、潜在的火灾爆炸的常识和能力的培训</w:t>
            </w:r>
          </w:p>
          <w:p>
            <w:r>
              <w:t>3</w:t>
            </w:r>
            <w:r>
              <w:rPr>
                <w:rFonts w:hint="eastAsia" w:cs="宋体"/>
              </w:rPr>
              <w:t>、该部门介绍开展了消防器材的使用和人员紧急疏散演练活动：</w:t>
            </w:r>
          </w:p>
          <w:p>
            <w:r>
              <w:t>——</w:t>
            </w:r>
            <w:r>
              <w:rPr>
                <w:rFonts w:hint="eastAsia" w:cs="宋体"/>
              </w:rPr>
              <w:t>演练时间：</w:t>
            </w:r>
            <w:r>
              <w:rPr>
                <w:rFonts w:hint="eastAsia"/>
              </w:rPr>
              <w:t>2020年3月1日</w:t>
            </w:r>
            <w:r>
              <w:rPr>
                <w:rFonts w:hint="eastAsia" w:cs="宋体"/>
              </w:rPr>
              <w:t>；</w:t>
            </w:r>
          </w:p>
          <w:p>
            <w:r>
              <w:t>——</w:t>
            </w:r>
            <w:r>
              <w:rPr>
                <w:rFonts w:hint="eastAsia" w:cs="宋体"/>
              </w:rPr>
              <w:t>演练组织部门：办公室；参加人员：全体</w:t>
            </w:r>
          </w:p>
          <w:p>
            <w:pPr>
              <w:rPr>
                <w:rFonts w:hint="eastAsia" w:cs="宋体"/>
              </w:rPr>
            </w:pPr>
            <w:r>
              <w:t>——</w:t>
            </w:r>
            <w:r>
              <w:rPr>
                <w:rFonts w:hint="eastAsia" w:cs="宋体"/>
              </w:rPr>
              <w:t>火灾应急预案演习报告：我公司的应急预案是充分和适宜的，目前暂无需改动。</w:t>
            </w:r>
          </w:p>
          <w:p>
            <w:pPr>
              <w:rPr>
                <w:rFonts w:hint="eastAsia" w:cs="宋体"/>
              </w:rPr>
            </w:pPr>
          </w:p>
          <w:p>
            <w:pPr>
              <w:rPr>
                <w:rFonts w:hint="eastAsia"/>
              </w:rPr>
            </w:pPr>
            <w:r>
              <w:t>抽</w:t>
            </w:r>
            <w:r>
              <w:rPr>
                <w:rFonts w:hint="eastAsia"/>
              </w:rPr>
              <w:t>机械伤害应急预案演练记录</w:t>
            </w:r>
          </w:p>
          <w:p>
            <w:pPr>
              <w:rPr>
                <w:rFonts w:hint="eastAsia"/>
              </w:rPr>
            </w:pPr>
            <w:r>
              <w:rPr>
                <w:rFonts w:hint="eastAsia"/>
              </w:rPr>
              <w:t>演练时间：2019.12.30</w:t>
            </w:r>
          </w:p>
          <w:p>
            <w:pPr>
              <w:rPr>
                <w:rFonts w:hint="eastAsia"/>
              </w:rPr>
            </w:pPr>
            <w:r>
              <w:rPr>
                <w:rFonts w:hint="eastAsia"/>
              </w:rPr>
              <w:t>参加单位及人员：办公室、</w:t>
            </w:r>
            <w:r>
              <w:rPr>
                <w:rFonts w:hint="eastAsia"/>
                <w:lang w:eastAsia="zh-CN"/>
              </w:rPr>
              <w:t>生技部</w:t>
            </w:r>
            <w:r>
              <w:rPr>
                <w:rFonts w:hint="eastAsia"/>
              </w:rPr>
              <w:t>人员12人</w:t>
            </w:r>
          </w:p>
          <w:p>
            <w:pPr>
              <w:rPr>
                <w:rFonts w:hint="eastAsia"/>
              </w:rPr>
            </w:pPr>
            <w:r>
              <w:rPr>
                <w:rFonts w:hint="eastAsia"/>
              </w:rPr>
              <w:t>演练总指挥：尹红军</w:t>
            </w:r>
          </w:p>
          <w:p>
            <w:pPr>
              <w:rPr>
                <w:rFonts w:hint="eastAsia"/>
              </w:rPr>
            </w:pPr>
            <w:r>
              <w:rPr>
                <w:rFonts w:hint="eastAsia"/>
              </w:rPr>
              <w:t>时间：2019.12.30</w:t>
            </w:r>
          </w:p>
          <w:p>
            <w:pPr>
              <w:rPr>
                <w:rFonts w:hint="eastAsia"/>
              </w:rPr>
            </w:pPr>
            <w:r>
              <w:rPr>
                <w:rFonts w:hint="eastAsia"/>
              </w:rPr>
              <w:t>地点：生产车间。</w:t>
            </w:r>
          </w:p>
          <w:p>
            <w:pPr>
              <w:rPr>
                <w:rFonts w:hint="eastAsia"/>
              </w:rPr>
            </w:pPr>
            <w:r>
              <w:rPr>
                <w:rFonts w:hint="eastAsia"/>
              </w:rPr>
              <w:t>参加人员：应急救援小组全部成员，本公司</w:t>
            </w:r>
            <w:r>
              <w:rPr>
                <w:rFonts w:hint="eastAsia"/>
                <w:lang w:eastAsia="zh-CN"/>
              </w:rPr>
              <w:t>生技部</w:t>
            </w:r>
            <w:r>
              <w:rPr>
                <w:rFonts w:hint="eastAsia"/>
              </w:rPr>
              <w:t>及企管部，120急救中心。</w:t>
            </w:r>
          </w:p>
          <w:p>
            <w:pPr>
              <w:rPr>
                <w:rFonts w:hint="eastAsia"/>
                <w:lang w:val="en-US" w:eastAsia="zh-CN"/>
              </w:rPr>
            </w:pPr>
            <w:r>
              <w:rPr>
                <w:rFonts w:hint="eastAsia"/>
              </w:rPr>
              <w:t>结论：总指挥对演练进行了总结，此次应急救援演练成功，救援小组配备齐全</w:t>
            </w:r>
            <w:r>
              <w:rPr>
                <w:rFonts w:hint="eastAsia"/>
                <w:lang w:val="en-US" w:eastAsia="zh-CN"/>
              </w:rPr>
              <w:t>.</w:t>
            </w:r>
          </w:p>
          <w:p>
            <w:pPr>
              <w:spacing w:line="240" w:lineRule="exact"/>
              <w:rPr>
                <w:b/>
                <w:color w:val="000000" w:themeColor="text1"/>
                <w:spacing w:val="-4"/>
                <w:sz w:val="20"/>
                <w:szCs w:val="20"/>
              </w:rPr>
            </w:pPr>
            <w:r>
              <w:rPr>
                <w:rFonts w:hint="eastAsia"/>
                <w:lang w:val="en-US" w:eastAsia="zh-CN"/>
              </w:rPr>
              <w:t>应急预案不需要修订。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pStyle w:val="2"/>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桥式起重机，见设备监督检验报告，在有效期内，提供人员操作证书。</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叉车，由于疫情原因，推迟检定，企业提供说明，现场审核时追踪</w:t>
            </w:r>
            <w:r>
              <w:rPr>
                <w:rFonts w:hint="eastAsia" w:asciiTheme="minorEastAsia" w:hAnsiTheme="minorEastAsia" w:eastAsiaTheme="minorEastAsia" w:cstheme="minorEastAsia"/>
                <w:color w:val="FF0000"/>
                <w:sz w:val="21"/>
                <w:szCs w:val="21"/>
                <w:lang w:val="en-US" w:eastAsia="zh-CN"/>
              </w:rPr>
              <w:t>（观察1）；</w:t>
            </w:r>
            <w:r>
              <w:rPr>
                <w:rFonts w:hint="eastAsia" w:asciiTheme="minorEastAsia" w:hAnsiTheme="minorEastAsia" w:eastAsiaTheme="minorEastAsia" w:cstheme="minorEastAsia"/>
                <w:color w:val="auto"/>
                <w:sz w:val="21"/>
                <w:szCs w:val="21"/>
                <w:lang w:val="en-US" w:eastAsia="zh-CN"/>
              </w:rPr>
              <w:t>见叉车</w:t>
            </w:r>
            <w:r>
              <w:rPr>
                <w:rFonts w:hint="eastAsia" w:asciiTheme="minorEastAsia" w:hAnsiTheme="minorEastAsia" w:eastAsiaTheme="minorEastAsia" w:cstheme="minorEastAsia"/>
                <w:sz w:val="21"/>
                <w:szCs w:val="21"/>
                <w:lang w:val="en-US" w:eastAsia="zh-CN"/>
              </w:rPr>
              <w:t>驾驶员证书：</w:t>
            </w:r>
          </w:p>
          <w:p>
            <w:pPr>
              <w:pStyle w:val="2"/>
              <w:rPr>
                <w:b/>
                <w:color w:val="000000" w:themeColor="text1"/>
                <w:sz w:val="20"/>
                <w:szCs w:val="20"/>
              </w:rPr>
            </w:pPr>
            <w:r>
              <w:rPr>
                <w:rFonts w:hint="eastAsia" w:asciiTheme="minorEastAsia" w:hAnsiTheme="minorEastAsia" w:eastAsiaTheme="minorEastAsia" w:cstheme="minorEastAsia"/>
                <w:sz w:val="21"/>
                <w:szCs w:val="21"/>
                <w:lang w:eastAsia="zh-CN"/>
              </w:rPr>
              <w:t>蒸汽锅炉，属于</w:t>
            </w:r>
            <w:r>
              <w:rPr>
                <w:rFonts w:hint="eastAsia" w:asciiTheme="minorEastAsia" w:hAnsiTheme="minorEastAsia" w:eastAsiaTheme="minorEastAsia" w:cstheme="minorEastAsia"/>
                <w:sz w:val="21"/>
                <w:szCs w:val="21"/>
                <w:lang w:val="en-US" w:eastAsia="zh-CN"/>
              </w:rPr>
              <w:t>D级，不需要监督检验，企业自检维护；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r>
              <w:rPr>
                <w:rFonts w:hint="eastAsia"/>
                <w:b w:val="0"/>
                <w:bCs/>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60" w:lineRule="auto"/>
              <w:rPr>
                <w:rFonts w:ascii="宋体" w:hAnsi="宋体" w:cs="宋体"/>
                <w:szCs w:val="21"/>
              </w:rPr>
            </w:pPr>
            <w:r>
              <w:rPr>
                <w:rFonts w:hint="eastAsia" w:ascii="宋体" w:hAnsi="宋体" w:cs="宋体"/>
                <w:szCs w:val="21"/>
              </w:rPr>
              <w:t>查到《质量手册》，规定了有关数据分析评价的内容，符合标准要求。</w:t>
            </w:r>
          </w:p>
          <w:p>
            <w:pPr>
              <w:spacing w:line="360" w:lineRule="auto"/>
              <w:rPr>
                <w:rFonts w:ascii="宋体" w:hAnsi="宋体" w:cs="宋体"/>
                <w:szCs w:val="21"/>
              </w:rPr>
            </w:pPr>
            <w:r>
              <w:rPr>
                <w:rFonts w:hint="eastAsia" w:ascii="宋体" w:hAnsi="宋体" w:cs="宋体"/>
                <w:szCs w:val="21"/>
              </w:rPr>
              <w:t xml:space="preserve">    负责人回答：对数据分析评价的方法和内容进行规定。经了解，试验室（质检）常用数据分析方法主要有直方图、因果分析、鱼刺图、排列图、对策表等法。所收集信息包括材料供方、顾客满意率、产品质量等。</w:t>
            </w:r>
          </w:p>
          <w:p>
            <w:pPr>
              <w:spacing w:line="360" w:lineRule="auto"/>
              <w:rPr>
                <w:rFonts w:ascii="宋体" w:hAnsi="宋体" w:cs="宋体"/>
                <w:szCs w:val="21"/>
              </w:rPr>
            </w:pPr>
            <w:r>
              <w:rPr>
                <w:rFonts w:hint="eastAsia" w:ascii="宋体" w:hAnsi="宋体" w:cs="宋体"/>
                <w:szCs w:val="21"/>
              </w:rPr>
              <w:t>2、 查到《分析报告》，对产品的质量情况、顾客满意度情况、体系的绩效和有效性、措施的有效性、外部供方的绩效、改进需求等进行数据总结，采用直方图、因果分析、鱼刺图、排列图、对策表等方法进行分析。</w:t>
            </w:r>
          </w:p>
          <w:p>
            <w:pPr>
              <w:spacing w:line="360" w:lineRule="auto"/>
              <w:rPr>
                <w:rFonts w:ascii="宋体" w:hAnsi="宋体" w:cs="宋体"/>
                <w:szCs w:val="21"/>
              </w:rPr>
            </w:pPr>
            <w:r>
              <w:rPr>
                <w:rFonts w:hint="eastAsia" w:ascii="宋体" w:hAnsi="宋体" w:cs="宋体"/>
                <w:szCs w:val="21"/>
              </w:rPr>
              <w:t xml:space="preserve">    查到目标指标的完成情况，形成了相关的材料证实，并输入到了管理评审中。</w:t>
            </w:r>
          </w:p>
          <w:p>
            <w:pPr>
              <w:spacing w:line="240" w:lineRule="exact"/>
              <w:ind w:firstLine="105" w:firstLineChars="50"/>
              <w:rPr>
                <w:b/>
                <w:color w:val="000000" w:themeColor="text1"/>
                <w:sz w:val="20"/>
                <w:szCs w:val="20"/>
              </w:rPr>
            </w:pPr>
            <w:r>
              <w:rPr>
                <w:rFonts w:hint="eastAsia" w:ascii="宋体" w:hAnsi="宋体" w:cs="宋体"/>
                <w:szCs w:val="21"/>
              </w:rPr>
              <w:t xml:space="preserve">    以上统计技术的应用和数据分析的实施情况证实，基本符合标准要求，均实施了有效性的评价，通过数据分析，为质量管理体系有关过程的改进提供机会。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8"/>
              </w:numPr>
              <w:spacing w:line="240" w:lineRule="exact"/>
              <w:ind w:left="0" w:leftChars="0" w:firstLine="0" w:firstLineChars="0"/>
              <w:rPr>
                <w:rFonts w:hint="eastAsia"/>
              </w:rPr>
            </w:pPr>
            <w:r>
              <w:rPr>
                <w:rFonts w:hint="eastAsia"/>
              </w:rPr>
              <w:t>顾客满意</w:t>
            </w:r>
          </w:p>
          <w:p>
            <w:pPr>
              <w:rPr>
                <w:lang w:val="zh-CN"/>
              </w:rPr>
            </w:pPr>
            <w:r>
              <w:rPr>
                <w:rFonts w:hint="eastAsia" w:cs="宋体"/>
                <w:lang w:val="zh-CN"/>
              </w:rPr>
              <w:t>公司通过电话，走访等形式，接受顾客反馈，了解顾客顾客满意度信息，发放调查表对顾客满意度进行定量测量。</w:t>
            </w:r>
          </w:p>
          <w:p>
            <w:pPr>
              <w:pStyle w:val="2"/>
              <w:numPr>
                <w:numId w:val="0"/>
              </w:numPr>
              <w:ind w:leftChars="0"/>
            </w:pPr>
            <w:r>
              <w:rPr>
                <w:rFonts w:hint="eastAsia" w:cs="宋体"/>
                <w:lang w:val="zh-CN"/>
              </w:rPr>
              <w:t>提供“顾客满意程度调查表”，调查主要内容：</w:t>
            </w:r>
            <w:r>
              <w:rPr>
                <w:rFonts w:hint="eastAsia" w:cs="宋体"/>
              </w:rPr>
              <w:t>质量、价格、外观、服务等方面的满意程度</w:t>
            </w:r>
            <w:r>
              <w:rPr>
                <w:rFonts w:hint="eastAsia" w:cs="宋体"/>
                <w:lang w:val="zh-CN"/>
              </w:rPr>
              <w:t>等，</w:t>
            </w:r>
            <w:r>
              <w:rPr>
                <w:rFonts w:hint="eastAsia" w:cs="宋体"/>
              </w:rPr>
              <w:t>各项得分求平均值得最终结果</w:t>
            </w:r>
            <w:r>
              <w:rPr>
                <w:rFonts w:hint="eastAsia" w:cs="宋体"/>
                <w:lang w:val="zh-CN"/>
              </w:rPr>
              <w:t>。</w:t>
            </w:r>
            <w:r>
              <w:rPr>
                <w:rFonts w:hint="eastAsia" w:cs="宋体"/>
              </w:rPr>
              <w:t>提供顾客满意调查分析。最终顾客满意率</w:t>
            </w:r>
            <w:r>
              <w:t>100%</w:t>
            </w:r>
            <w:r>
              <w:rPr>
                <w:rFonts w:hint="eastAsia" w:cs="宋体"/>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3. 内审（包括内审策划审核方案中考虑拟审核的过程和区域的状况和重要性）</w:t>
            </w:r>
          </w:p>
          <w:p>
            <w:r>
              <w:rPr>
                <w:rFonts w:hint="eastAsia" w:cs="宋体"/>
              </w:rPr>
              <w:t>编制《</w:t>
            </w:r>
            <w:r>
              <w:rPr>
                <w:rFonts w:hint="eastAsia" w:ascii="宋体" w:hAnsi="宋体"/>
              </w:rPr>
              <w:t>内部审核控制程序</w:t>
            </w:r>
            <w:r>
              <w:rPr>
                <w:rFonts w:hint="eastAsia" w:cs="宋体"/>
              </w:rPr>
              <w:t>》，基本符合标准要求。</w:t>
            </w:r>
          </w:p>
          <w:p>
            <w:r>
              <w:rPr>
                <w:rFonts w:hint="eastAsia" w:cs="宋体"/>
              </w:rPr>
              <w:t>经查问：总经理、管代、各部门主管均经培训并参加了内部审核。</w:t>
            </w:r>
          </w:p>
          <w:p>
            <w:r>
              <w:rPr>
                <w:rFonts w:hint="eastAsia"/>
              </w:rPr>
              <w:t>2020年3月11日—12日</w:t>
            </w:r>
            <w:r>
              <w:rPr>
                <w:rFonts w:hint="eastAsia" w:cs="宋体"/>
              </w:rPr>
              <w:t>开展管理体系内部审核活动，并提供有以下内审的资料：</w:t>
            </w:r>
          </w:p>
          <w:p>
            <w:r>
              <w:t>——</w:t>
            </w:r>
            <w:r>
              <w:rPr>
                <w:rFonts w:hint="eastAsia" w:cs="宋体"/>
              </w:rPr>
              <w:t>《审核实施计划》，编制：连霞2019.7.20</w:t>
            </w:r>
            <w:r>
              <w:t xml:space="preserve"> </w:t>
            </w:r>
            <w:r>
              <w:rPr>
                <w:rFonts w:hint="eastAsia" w:cs="宋体"/>
              </w:rPr>
              <w:t>批准：洪文2019.7.20</w:t>
            </w:r>
          </w:p>
          <w:p>
            <w:r>
              <w:rPr>
                <w:rFonts w:hint="eastAsia" w:cs="宋体"/>
              </w:rPr>
              <w:t>计划中规定审核的目的、依据、范围、时间、审核安排；</w:t>
            </w:r>
          </w:p>
          <w:p>
            <w:pPr>
              <w:rPr>
                <w:rFonts w:hint="eastAsia"/>
              </w:rPr>
            </w:pPr>
            <w:r>
              <w:rPr>
                <w:rFonts w:hint="eastAsia" w:cs="宋体"/>
              </w:rPr>
              <w:t>审核组组长：赵金山，组员：尹红军</w:t>
            </w:r>
          </w:p>
          <w:p>
            <w:r>
              <w:rPr>
                <w:rFonts w:hint="eastAsia" w:cs="宋体"/>
              </w:rPr>
              <w:t>计划中没有漏标准条款、没有遗漏体系覆盖的部门和场所，内审员没有审核自己的工作。</w:t>
            </w:r>
          </w:p>
          <w:p>
            <w:r>
              <w:t>——</w:t>
            </w:r>
            <w:r>
              <w:rPr>
                <w:rFonts w:hint="eastAsia" w:cs="宋体"/>
              </w:rPr>
              <w:t>内审首末次会议签到（领导层、各部门负责人）；</w:t>
            </w:r>
          </w:p>
          <w:p>
            <w:r>
              <w:t>——</w:t>
            </w:r>
            <w:r>
              <w:rPr>
                <w:rFonts w:hint="eastAsia" w:cs="宋体"/>
              </w:rPr>
              <w:t>内部审核检查表，审核按计划进行，没有遗漏标准条款及体系覆盖的部门和场所，内审员没有审核自己的工作。</w:t>
            </w:r>
          </w:p>
          <w:p>
            <w:r>
              <w:t>——</w:t>
            </w:r>
            <w:r>
              <w:rPr>
                <w:rFonts w:hint="eastAsia" w:cs="宋体"/>
              </w:rPr>
              <w:t>本次内审发现</w:t>
            </w:r>
            <w:r>
              <w:rPr>
                <w:rFonts w:hint="eastAsia"/>
              </w:rPr>
              <w:t>1</w:t>
            </w:r>
            <w:r>
              <w:rPr>
                <w:rFonts w:hint="eastAsia" w:cs="宋体"/>
              </w:rPr>
              <w:t>项不合格，为一般不符合项，查看“不符合报告”，不符合事实描述清晰，不符合原因分析准确，并制定了纠正及纠正预防措施，且措施可行，并对其有效性进行了验证，验证人：赵金山2020年3月16日</w:t>
            </w:r>
          </w:p>
          <w:p>
            <w:r>
              <w:t>——</w:t>
            </w:r>
            <w:r>
              <w:rPr>
                <w:rFonts w:hint="eastAsia" w:cs="宋体"/>
              </w:rPr>
              <w:t>本次内审编制有《内部管理体系审核报告》，结论：审核组认为，我公司管理体系基本能按策划和ISO9001-2015 、ISO14001-2015、GB/T45001-2020标准的要求有效运行。</w:t>
            </w:r>
          </w:p>
          <w:p>
            <w:pPr>
              <w:spacing w:line="240" w:lineRule="exact"/>
              <w:rPr>
                <w:b/>
                <w:color w:val="000000" w:themeColor="text1"/>
                <w:sz w:val="20"/>
                <w:szCs w:val="20"/>
              </w:rPr>
            </w:pPr>
            <w:r>
              <w:rPr>
                <w:rFonts w:hint="eastAsia" w:cs="宋体"/>
              </w:rPr>
              <w:t>编  制：尹红军    批准： 黄宗伟    日期：2020年3月12日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rPr>
                <w:rFonts w:hint="eastAsia" w:ascii="宋体" w:hAnsi="宋体" w:eastAsia="宋体" w:cs="宋体"/>
                <w:sz w:val="21"/>
                <w:szCs w:val="21"/>
              </w:rPr>
            </w:pPr>
            <w:r>
              <w:rPr>
                <w:rFonts w:hint="eastAsia" w:ascii="宋体" w:hAnsi="宋体" w:eastAsia="宋体" w:cs="宋体"/>
                <w:sz w:val="21"/>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rPr>
                <w:rFonts w:hint="eastAsia" w:ascii="宋体" w:hAnsi="宋体" w:eastAsia="宋体" w:cs="宋体"/>
                <w:sz w:val="21"/>
                <w:szCs w:val="21"/>
              </w:rPr>
            </w:pPr>
            <w:r>
              <w:rPr>
                <w:rFonts w:hint="eastAsia" w:ascii="宋体" w:hAnsi="宋体" w:eastAsia="宋体" w:cs="宋体"/>
                <w:sz w:val="21"/>
                <w:szCs w:val="21"/>
              </w:rPr>
              <w:t>查管理评审的计划：管理评审的时间：2020.03.30</w:t>
            </w:r>
          </w:p>
          <w:p>
            <w:pPr>
              <w:rPr>
                <w:rFonts w:hint="eastAsia" w:ascii="宋体" w:hAnsi="宋体" w:eastAsia="宋体" w:cs="宋体"/>
                <w:sz w:val="21"/>
                <w:szCs w:val="21"/>
              </w:rPr>
            </w:pPr>
            <w:r>
              <w:rPr>
                <w:rFonts w:hint="eastAsia" w:ascii="宋体" w:hAnsi="宋体" w:eastAsia="宋体" w:cs="宋体"/>
                <w:sz w:val="21"/>
                <w:szCs w:val="21"/>
              </w:rPr>
              <w:t xml:space="preserve">主持人：总经理    参加人：领导层、各部门负责人 </w:t>
            </w:r>
          </w:p>
          <w:p>
            <w:pPr>
              <w:rPr>
                <w:rFonts w:hint="eastAsia" w:ascii="宋体" w:hAnsi="宋体" w:eastAsia="宋体" w:cs="宋体"/>
                <w:sz w:val="21"/>
                <w:szCs w:val="21"/>
              </w:rPr>
            </w:pPr>
            <w:r>
              <w:rPr>
                <w:rFonts w:hint="eastAsia" w:ascii="宋体" w:hAnsi="宋体" w:eastAsia="宋体" w:cs="宋体"/>
                <w:sz w:val="21"/>
                <w:szCs w:val="21"/>
              </w:rPr>
              <w:t>要求每个部门需提交的管理评审输入内容包含了标准条款的要求。时间安排符合程序文件的要求。</w:t>
            </w:r>
          </w:p>
          <w:p>
            <w:pPr>
              <w:rPr>
                <w:rFonts w:hint="eastAsia" w:ascii="宋体" w:hAnsi="宋体" w:eastAsia="宋体" w:cs="宋体"/>
                <w:sz w:val="21"/>
                <w:szCs w:val="21"/>
              </w:rPr>
            </w:pPr>
            <w:r>
              <w:rPr>
                <w:rFonts w:hint="eastAsia" w:ascii="宋体" w:hAnsi="宋体" w:eastAsia="宋体" w:cs="宋体"/>
                <w:sz w:val="21"/>
                <w:szCs w:val="21"/>
              </w:rPr>
              <w:t>编制：赵金山    批准：黄宗伟      日期： 2020.3.1</w:t>
            </w:r>
          </w:p>
          <w:p>
            <w:pPr>
              <w:rPr>
                <w:rFonts w:hint="eastAsia" w:ascii="宋体" w:hAnsi="宋体" w:eastAsia="宋体" w:cs="宋体"/>
                <w:sz w:val="21"/>
                <w:szCs w:val="21"/>
              </w:rPr>
            </w:pPr>
            <w:r>
              <w:rPr>
                <w:rFonts w:hint="eastAsia" w:ascii="宋体" w:hAnsi="宋体" w:eastAsia="宋体" w:cs="宋体"/>
                <w:sz w:val="21"/>
                <w:szCs w:val="21"/>
              </w:rPr>
              <w:t>查看管理评审输入的资料：</w:t>
            </w:r>
          </w:p>
          <w:p>
            <w:pPr>
              <w:rPr>
                <w:rFonts w:hint="eastAsia" w:ascii="宋体" w:hAnsi="宋体" w:eastAsia="宋体" w:cs="宋体"/>
                <w:sz w:val="21"/>
                <w:szCs w:val="21"/>
              </w:rPr>
            </w:pPr>
            <w:r>
              <w:rPr>
                <w:rFonts w:hint="eastAsia" w:ascii="宋体" w:hAnsi="宋体" w:eastAsia="宋体" w:cs="宋体"/>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eastAsia" w:ascii="宋体" w:hAnsi="宋体" w:eastAsia="宋体" w:cs="宋体"/>
                <w:sz w:val="21"/>
                <w:szCs w:val="21"/>
              </w:rPr>
            </w:pPr>
            <w:r>
              <w:rPr>
                <w:rFonts w:hint="eastAsia" w:ascii="宋体" w:hAnsi="宋体" w:eastAsia="宋体" w:cs="宋体"/>
                <w:sz w:val="21"/>
                <w:szCs w:val="21"/>
              </w:rPr>
              <w:t>查看管理评审报告，批准：黄宗伟2020.3.30</w:t>
            </w:r>
          </w:p>
          <w:p>
            <w:pPr>
              <w:rPr>
                <w:rFonts w:hint="eastAsia" w:ascii="宋体" w:hAnsi="宋体" w:eastAsia="宋体" w:cs="宋体"/>
                <w:sz w:val="21"/>
                <w:szCs w:val="21"/>
              </w:rPr>
            </w:pPr>
            <w:r>
              <w:rPr>
                <w:rFonts w:hint="eastAsia" w:ascii="宋体" w:hAnsi="宋体" w:eastAsia="宋体" w:cs="宋体"/>
                <w:sz w:val="21"/>
                <w:szCs w:val="21"/>
              </w:rPr>
              <w:t>结论：1、公司的职业健康安全方针和目标与公司目前的情况是适宜的、充分的。</w:t>
            </w:r>
          </w:p>
          <w:p>
            <w:pPr>
              <w:spacing w:line="240" w:lineRule="exact"/>
              <w:rPr>
                <w:b/>
                <w:color w:val="000000" w:themeColor="text1"/>
                <w:sz w:val="20"/>
                <w:szCs w:val="20"/>
              </w:rPr>
            </w:pPr>
            <w:r>
              <w:rPr>
                <w:rFonts w:hint="eastAsia" w:ascii="宋体" w:hAnsi="宋体" w:eastAsia="宋体" w:cs="宋体"/>
                <w:sz w:val="21"/>
                <w:szCs w:val="21"/>
              </w:rPr>
              <w:t>2、公司的管理体系与公司目前的状况是适宜、有效的。但随着公司改革改制的进展，也存在一些问题</w:t>
            </w:r>
            <w:r>
              <w:rPr>
                <w:rFonts w:hint="eastAsia" w:ascii="宋体" w:hAnsi="宋体" w:cs="宋体"/>
                <w:sz w:val="21"/>
                <w:szCs w:val="21"/>
                <w:lang w:val="en-US" w:eastAsia="zh-CN"/>
              </w:rPr>
              <w:t>,正在改进实施中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cPr>
          <w:p>
            <w:pPr>
              <w:numPr>
                <w:numId w:val="0"/>
              </w:numPr>
              <w:spacing w:line="240" w:lineRule="exact"/>
              <w:ind w:leftChars="0"/>
              <w:rPr>
                <w:rFonts w:hint="eastAsia"/>
              </w:rPr>
            </w:pPr>
            <w:r>
              <w:rPr>
                <w:rFonts w:hint="eastAsia"/>
                <w:lang w:val="en-US" w:eastAsia="zh-CN"/>
              </w:rPr>
              <w:t>5.</w:t>
            </w:r>
            <w:r>
              <w:rPr>
                <w:rFonts w:hint="eastAsia"/>
              </w:rPr>
              <w:t>EMS是否按规定对主要污染物（污水、废气、噪声、废渣等）及排放实施了例行的监视或测量，结果是否满足相关要求？</w:t>
            </w:r>
          </w:p>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numPr>
                <w:numId w:val="0"/>
              </w:numPr>
              <w:spacing w:line="240" w:lineRule="exact"/>
              <w:ind w:leftChars="0"/>
              <w:rPr>
                <w:rFonts w:hint="eastAsia" w:ascii="宋体" w:hAnsi="宋体"/>
              </w:rPr>
            </w:pPr>
          </w:p>
          <w:p>
            <w:pPr>
              <w:numPr>
                <w:numId w:val="0"/>
              </w:numPr>
              <w:spacing w:line="240" w:lineRule="exact"/>
              <w:ind w:leftChars="0"/>
              <w:rPr>
                <w:rFonts w:hint="eastAsia" w:ascii="宋体" w:hAnsi="宋体"/>
              </w:rPr>
            </w:pPr>
            <w:r>
              <w:rPr>
                <w:rFonts w:hint="eastAsia"/>
                <w:lang w:val="en-US" w:eastAsia="zh-CN"/>
              </w:rPr>
              <w:t xml:space="preserve"> </w:t>
            </w:r>
            <w:r>
              <w:rPr>
                <w:rFonts w:hint="eastAsia" w:ascii="宋体" w:hAnsi="宋体"/>
              </w:rPr>
              <w:t>微信查看营业执照原件，认证范围在经营范围内，符合要求。</w:t>
            </w:r>
          </w:p>
          <w:p>
            <w:pPr>
              <w:rPr>
                <w:rFonts w:hint="eastAsia" w:ascii="宋体" w:hAnsi="宋体"/>
              </w:rPr>
            </w:pPr>
            <w:r>
              <w:rPr>
                <w:rFonts w:hint="eastAsia" w:ascii="宋体" w:hAnsi="宋体"/>
              </w:rPr>
              <w:t>微信查看2018年1月水泥构件生产项目环境影响报告表、栾环表（2018）065号批复意见、2018年竣工环境保护验收专家验收意见原件，有专家签字</w:t>
            </w:r>
          </w:p>
          <w:p>
            <w:pPr>
              <w:rPr>
                <w:rFonts w:hint="default" w:eastAsia="宋体"/>
                <w:lang w:val="en-US" w:eastAsia="zh-CN"/>
              </w:rPr>
            </w:pPr>
            <w:r>
              <w:rPr>
                <w:rFonts w:hint="eastAsia" w:ascii="宋体" w:hAnsi="宋体"/>
              </w:rPr>
              <w:t>微信查看排污许可证原件，符合要求。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lang w:val="en-US" w:eastAsia="zh-CN"/>
              </w:rPr>
              <w:t>是 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lang w:val="en-US" w:eastAsia="zh-CN"/>
              </w:rPr>
              <w:t xml:space="preserve">    </w:t>
            </w:r>
            <w:r>
              <w:rPr>
                <w:rFonts w:hint="eastAsia"/>
                <w:b w:val="0"/>
                <w:bCs/>
                <w:color w:val="000000" w:themeColor="text1"/>
                <w:sz w:val="20"/>
                <w:szCs w:val="20"/>
                <w:lang w:val="en-US" w:eastAsia="zh-CN"/>
              </w:rPr>
              <w:t>暂无</w:t>
            </w:r>
            <w:r>
              <w:rPr>
                <w:rFonts w:hint="eastAsia"/>
                <w:b w:val="0"/>
                <w:bCs/>
                <w:color w:val="000000" w:themeColor="text1"/>
                <w:sz w:val="20"/>
                <w:szCs w:val="20"/>
              </w:rPr>
              <w:t>国家/地方职业健康安全部门监督检查情况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numPr>
                <w:ilvl w:val="0"/>
                <w:numId w:val="11"/>
              </w:numPr>
              <w:spacing w:line="240" w:lineRule="exact"/>
              <w:rPr>
                <w:rFonts w:hint="eastAsia"/>
                <w:b/>
                <w:color w:val="000000" w:themeColor="text1"/>
                <w:sz w:val="20"/>
                <w:szCs w:val="20"/>
                <w:lang w:val="en-US" w:eastAsia="zh-CN"/>
              </w:rPr>
            </w:pPr>
            <w:r>
              <w:rPr>
                <w:rFonts w:hint="eastAsia"/>
                <w:b/>
                <w:color w:val="000000" w:themeColor="text1"/>
                <w:sz w:val="20"/>
                <w:szCs w:val="20"/>
              </w:rPr>
              <w:t>其他能够标明组织绩效、信誉的证据/信息：</w:t>
            </w:r>
            <w:r>
              <w:rPr>
                <w:rFonts w:hint="eastAsia"/>
                <w:b/>
                <w:color w:val="000000" w:themeColor="text1"/>
                <w:sz w:val="20"/>
                <w:szCs w:val="20"/>
                <w:lang w:val="en-US" w:eastAsia="zh-CN"/>
              </w:rPr>
              <w:t xml:space="preserve">  </w:t>
            </w:r>
          </w:p>
          <w:p>
            <w:pPr>
              <w:widowControl/>
              <w:numPr>
                <w:ilvl w:val="0"/>
                <w:numId w:val="0"/>
              </w:numPr>
              <w:spacing w:line="240" w:lineRule="exact"/>
              <w:ind w:left="0" w:leftChars="0" w:firstLine="0" w:firstLineChars="0"/>
              <w:rPr>
                <w:b/>
                <w:color w:val="000000" w:themeColor="text1"/>
                <w:sz w:val="20"/>
                <w:szCs w:val="20"/>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对已经识别的一般比较轻微问题或不符合采取纠正的办法，比较有影响或典型的问题则采取纠正措施予以控制。根据以往的经验或者针对施工过程的现场管理要求、安全及环保要求识别和确定潜在的不符合，有针对性地制定预防措施。使试验室管理和员工健康得到重视或关注。通过班前会、安全技术交底活动、工地现场会的形式贯彻实施预防措施，实施的效果比较好。</w:t>
            </w:r>
          </w:p>
          <w:p>
            <w:pPr>
              <w:spacing w:line="40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查到不符合纠正措施控制程序，见程序文件确定的纠正/预防措施的控制的职责和相关的管理要求，覆盖标准要求，体系建立以来未发生更改变化，基本符合。</w:t>
            </w:r>
          </w:p>
          <w:p>
            <w:pPr>
              <w:spacing w:line="40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见《环境、安全检查记录》，检查内容包括加工/生活/办公区域卫生情况,是否清理干净;危废收集处理情况;操作工配戴劳动防护用品情况；操作工是否按设备操作规程作业。电工持证上岗情况；生产安全用电情况；用电是否有乱搭线现象;接地保护是否完好；消防设施是否完好;消防通道是否畅通。</w:t>
            </w:r>
          </w:p>
          <w:p>
            <w:pPr>
              <w:spacing w:line="240" w:lineRule="exact"/>
              <w:rPr>
                <w:b/>
                <w:color w:val="000000" w:themeColor="text1"/>
                <w:sz w:val="20"/>
                <w:szCs w:val="20"/>
              </w:rPr>
            </w:pPr>
            <w:r>
              <w:rPr>
                <w:rFonts w:hint="eastAsia" w:asciiTheme="minorEastAsia" w:hAnsiTheme="minorEastAsia" w:eastAsiaTheme="minorEastAsia" w:cstheme="minorEastAsia"/>
                <w:color w:val="auto"/>
                <w:szCs w:val="21"/>
              </w:rPr>
              <w:t>经了解，所有措施没有引发在策划期间确定的风险和机遇的更新，也没有引发质量管理体系的变更，实施情况基本符合标准的要求。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rPr>
                <w:b/>
                <w:color w:val="000000" w:themeColor="text1"/>
                <w:sz w:val="20"/>
                <w:szCs w:val="20"/>
              </w:rPr>
            </w:pPr>
            <w:r>
              <w:rPr>
                <w:rFonts w:hint="eastAsia"/>
                <w:b/>
                <w:color w:val="000000" w:themeColor="text1"/>
                <w:spacing w:val="-20"/>
                <w:sz w:val="20"/>
                <w:szCs w:val="20"/>
              </w:rPr>
              <w:t>2（近一年）重大事故、顾客/相关方投诉：</w:t>
            </w:r>
            <w:r>
              <w:rPr>
                <w:rFonts w:hint="eastAsia" w:ascii="宋体" w:hAnsi="宋体"/>
              </w:rPr>
              <w:t>在体系运行期间未发生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eastAsia="宋体"/>
                <w:b/>
                <w:color w:val="000000" w:themeColor="text1"/>
                <w:sz w:val="20"/>
                <w:szCs w:val="20"/>
                <w:lang w:eastAsia="zh-CN"/>
              </w:rPr>
            </w:pPr>
            <w:r>
              <w:rPr>
                <w:rFonts w:hint="eastAsia"/>
                <w:b/>
                <w:color w:val="000000" w:themeColor="text1"/>
                <w:sz w:val="20"/>
                <w:szCs w:val="20"/>
              </w:rPr>
              <w:t>3. 一阶段提出问题的整改情况</w:t>
            </w:r>
            <w:r>
              <w:rPr>
                <w:rFonts w:hint="eastAsia"/>
                <w:b/>
                <w:color w:val="000000" w:themeColor="text1"/>
                <w:sz w:val="20"/>
                <w:szCs w:val="20"/>
                <w:lang w:eastAsia="zh-CN"/>
              </w:rPr>
              <w:t>：</w:t>
            </w:r>
            <w:r>
              <w:rPr>
                <w:rFonts w:hint="eastAsia"/>
                <w:b w:val="0"/>
                <w:bCs/>
                <w:color w:val="000000" w:themeColor="text1"/>
                <w:sz w:val="20"/>
                <w:szCs w:val="20"/>
                <w:lang w:eastAsia="zh-CN"/>
              </w:rPr>
              <w:t>未提出问题。</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 w:val="20"/>
                <w:szCs w:val="20"/>
              </w:rPr>
              <w:t>4.创新情况</w:t>
            </w:r>
            <w:r>
              <w:rPr>
                <w:rFonts w:hint="eastAsia"/>
                <w:b/>
                <w:color w:val="000000" w:themeColor="text1"/>
                <w:sz w:val="20"/>
                <w:szCs w:val="20"/>
                <w:lang w:eastAsia="zh-CN"/>
              </w:rPr>
              <w:t>：无</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1"/>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10"/>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10080" w:type="dxa"/>
          </w:tcPr>
          <w:p>
            <w:pPr>
              <w:spacing w:line="280" w:lineRule="exact"/>
              <w:rPr>
                <w:rFonts w:hint="eastAsia"/>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rPr>
                <w:rFonts w:hint="eastAsia"/>
                <w:b/>
                <w:color w:val="000000" w:themeColor="text1"/>
                <w:sz w:val="22"/>
                <w:szCs w:val="22"/>
              </w:rPr>
            </w:pPr>
          </w:p>
          <w:p>
            <w:pPr>
              <w:spacing w:line="280" w:lineRule="exact"/>
              <w:ind w:left="220" w:leftChars="105" w:firstLine="660" w:firstLineChars="300"/>
              <w:rPr>
                <w:b/>
                <w:color w:val="000000" w:themeColor="text1"/>
                <w:sz w:val="28"/>
                <w:szCs w:val="28"/>
              </w:rPr>
            </w:pPr>
            <w:r>
              <w:rPr>
                <w:rFonts w:hint="eastAsia"/>
                <w:b w:val="0"/>
                <w:bCs/>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r>
              <w:rPr>
                <w:rFonts w:hint="eastAsia"/>
                <w:b w:val="0"/>
                <w:bCs/>
                <w:color w:val="000000" w:themeColor="text1"/>
                <w:sz w:val="22"/>
                <w:szCs w:val="22"/>
                <w:lang w:eastAsia="zh-CN"/>
              </w:rPr>
              <w:t>，</w:t>
            </w:r>
            <w:r>
              <w:rPr>
                <w:rFonts w:hint="eastAsia"/>
                <w:b w:val="0"/>
                <w:bCs/>
                <w:color w:val="000000" w:themeColor="text1"/>
                <w:spacing w:val="-10"/>
                <w:szCs w:val="21"/>
              </w:rPr>
              <w:sym w:font="Wingdings 2" w:char="0052"/>
            </w:r>
            <w:r>
              <w:rPr>
                <w:rFonts w:hint="eastAsia"/>
                <w:b w:val="0"/>
                <w:bCs/>
                <w:color w:val="000000" w:themeColor="text1"/>
                <w:sz w:val="22"/>
                <w:szCs w:val="22"/>
              </w:rPr>
              <w:t xml:space="preserve">QMS  </w:t>
            </w:r>
            <w:r>
              <w:rPr>
                <w:rFonts w:hint="eastAsia"/>
                <w:b w:val="0"/>
                <w:bCs/>
                <w:color w:val="000000" w:themeColor="text1"/>
                <w:spacing w:val="-10"/>
                <w:szCs w:val="21"/>
              </w:rPr>
              <w:sym w:font="Wingdings 2" w:char="0052"/>
            </w:r>
            <w:r>
              <w:rPr>
                <w:rFonts w:hint="eastAsia"/>
                <w:b w:val="0"/>
                <w:bCs/>
                <w:color w:val="000000" w:themeColor="text1"/>
                <w:sz w:val="22"/>
                <w:szCs w:val="22"/>
              </w:rPr>
              <w:t xml:space="preserve">EMS  </w:t>
            </w:r>
            <w:r>
              <w:rPr>
                <w:rFonts w:hint="eastAsia"/>
                <w:b w:val="0"/>
                <w:bCs/>
                <w:color w:val="000000" w:themeColor="text1"/>
                <w:spacing w:val="-10"/>
                <w:szCs w:val="21"/>
              </w:rPr>
              <w:sym w:font="Wingdings 2" w:char="0052"/>
            </w:r>
            <w:r>
              <w:rPr>
                <w:rFonts w:hint="eastAsia"/>
                <w:b w:val="0"/>
                <w:bCs/>
                <w:color w:val="000000" w:themeColor="text1"/>
                <w:sz w:val="22"/>
                <w:szCs w:val="22"/>
              </w:rPr>
              <w:t>OHSMS持续的符合性及运行的有效性，以及与认证范围的持续相关性和适宜性及自我完善机制等</w:t>
            </w:r>
            <w:r>
              <w:rPr>
                <w:rFonts w:hint="eastAsia"/>
                <w:b w:val="0"/>
                <w:bCs/>
                <w:color w:val="000000" w:themeColor="text1"/>
                <w:sz w:val="22"/>
                <w:szCs w:val="22"/>
                <w:lang w:eastAsia="zh-CN"/>
              </w:rPr>
              <w:t>方面评定，推荐该组织认证。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r>
              <w:rPr>
                <w:rFonts w:hint="eastAsia"/>
                <w:b/>
                <w:color w:val="000000" w:themeColor="text1"/>
                <w:lang w:eastAsia="zh-CN"/>
              </w:rPr>
              <w:t>：无。</w:t>
            </w: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7456" behindDoc="0" locked="0" layoutInCell="1" allowOverlap="1">
            <wp:simplePos x="0" y="0"/>
            <wp:positionH relativeFrom="column">
              <wp:posOffset>1497330</wp:posOffset>
            </wp:positionH>
            <wp:positionV relativeFrom="paragraph">
              <wp:posOffset>346710</wp:posOffset>
            </wp:positionV>
            <wp:extent cx="767715" cy="335915"/>
            <wp:effectExtent l="0" t="0" r="13335" b="698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lum contrast="96000"/>
                    </a:blip>
                    <a:stretch>
                      <a:fillRect/>
                    </a:stretch>
                  </pic:blipFill>
                  <pic:spPr>
                    <a:xfrm>
                      <a:off x="0" y="0"/>
                      <a:ext cx="767715" cy="33591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drawing>
          <wp:anchor distT="0" distB="0" distL="114300" distR="114300" simplePos="0" relativeHeight="251668480" behindDoc="0" locked="0" layoutInCell="1" allowOverlap="1">
            <wp:simplePos x="0" y="0"/>
            <wp:positionH relativeFrom="column">
              <wp:posOffset>1557020</wp:posOffset>
            </wp:positionH>
            <wp:positionV relativeFrom="paragraph">
              <wp:posOffset>113030</wp:posOffset>
            </wp:positionV>
            <wp:extent cx="655320" cy="424815"/>
            <wp:effectExtent l="0" t="0" r="11430" b="1333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655320" cy="424815"/>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szCs w:val="21"/>
          <w:lang w:val="en-US" w:eastAsia="zh-CN"/>
        </w:rPr>
        <w:t>2020年4月19日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drawing>
          <wp:anchor distT="0" distB="0" distL="114300" distR="114300" simplePos="0" relativeHeight="251662336" behindDoc="0" locked="0" layoutInCell="1" allowOverlap="1">
            <wp:simplePos x="0" y="0"/>
            <wp:positionH relativeFrom="column">
              <wp:posOffset>749300</wp:posOffset>
            </wp:positionH>
            <wp:positionV relativeFrom="paragraph">
              <wp:posOffset>164465</wp:posOffset>
            </wp:positionV>
            <wp:extent cx="767715" cy="335915"/>
            <wp:effectExtent l="0" t="0" r="13335" b="698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lum contrast="96000"/>
                    </a:blip>
                    <a:stretch>
                      <a:fillRect/>
                    </a:stretch>
                  </pic:blipFill>
                  <pic:spPr>
                    <a:xfrm>
                      <a:off x="0" y="0"/>
                      <a:ext cx="767715" cy="33591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2020年4月22日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12"/>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12"/>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9D4BCA"/>
    <w:multiLevelType w:val="singleLevel"/>
    <w:tmpl w:val="9C9D4BCA"/>
    <w:lvl w:ilvl="0" w:tentative="0">
      <w:start w:val="7"/>
      <w:numFmt w:val="decimal"/>
      <w:suff w:val="space"/>
      <w:lvlText w:val="%1."/>
      <w:lvlJc w:val="left"/>
    </w:lvl>
  </w:abstractNum>
  <w:abstractNum w:abstractNumId="1">
    <w:nsid w:val="B50402A3"/>
    <w:multiLevelType w:val="singleLevel"/>
    <w:tmpl w:val="B50402A3"/>
    <w:lvl w:ilvl="0" w:tentative="0">
      <w:start w:val="2"/>
      <w:numFmt w:val="decimal"/>
      <w:suff w:val="nothing"/>
      <w:lvlText w:val="%1、"/>
      <w:lvlJc w:val="left"/>
    </w:lvl>
  </w:abstractNum>
  <w:abstractNum w:abstractNumId="2">
    <w:nsid w:val="BAA70288"/>
    <w:multiLevelType w:val="singleLevel"/>
    <w:tmpl w:val="BAA70288"/>
    <w:lvl w:ilvl="0" w:tentative="0">
      <w:start w:val="9"/>
      <w:numFmt w:val="decimal"/>
      <w:suff w:val="space"/>
      <w:lvlText w:val="%1."/>
      <w:lvlJc w:val="left"/>
    </w:lvl>
  </w:abstractNum>
  <w:abstractNum w:abstractNumId="3">
    <w:nsid w:val="E71B5DAC"/>
    <w:multiLevelType w:val="singleLevel"/>
    <w:tmpl w:val="E71B5DAC"/>
    <w:lvl w:ilvl="0" w:tentative="0">
      <w:start w:val="1"/>
      <w:numFmt w:val="decimal"/>
      <w:suff w:val="space"/>
      <w:lvlText w:val="%1."/>
      <w:lvlJc w:val="left"/>
    </w:lvl>
  </w:abstractNum>
  <w:abstractNum w:abstractNumId="4">
    <w:nsid w:val="01E335E5"/>
    <w:multiLevelType w:val="singleLevel"/>
    <w:tmpl w:val="01E335E5"/>
    <w:lvl w:ilvl="0" w:tentative="0">
      <w:start w:val="3"/>
      <w:numFmt w:val="decimal"/>
      <w:lvlText w:val="%1."/>
      <w:lvlJc w:val="left"/>
      <w:pPr>
        <w:tabs>
          <w:tab w:val="left" w:pos="312"/>
        </w:tabs>
      </w:pPr>
    </w:lvl>
  </w:abstractNum>
  <w:abstractNum w:abstractNumId="5">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00D838D"/>
    <w:multiLevelType w:val="singleLevel"/>
    <w:tmpl w:val="500D838D"/>
    <w:lvl w:ilvl="0" w:tentative="0">
      <w:start w:val="2"/>
      <w:numFmt w:val="decimal"/>
      <w:suff w:val="nothing"/>
      <w:lvlText w:val="（%1）"/>
      <w:lvlJc w:val="left"/>
    </w:lvl>
  </w:abstractNum>
  <w:abstractNum w:abstractNumId="8">
    <w:nsid w:val="5A6FD64E"/>
    <w:multiLevelType w:val="singleLevel"/>
    <w:tmpl w:val="5A6FD64E"/>
    <w:lvl w:ilvl="0" w:tentative="0">
      <w:start w:val="1"/>
      <w:numFmt w:val="decimal"/>
      <w:suff w:val="nothing"/>
      <w:lvlText w:val="%1、"/>
      <w:lvlJc w:val="left"/>
    </w:lvl>
  </w:abstractNum>
  <w:abstractNum w:abstractNumId="9">
    <w:nsid w:val="62A507B7"/>
    <w:multiLevelType w:val="singleLevel"/>
    <w:tmpl w:val="62A507B7"/>
    <w:lvl w:ilvl="0" w:tentative="0">
      <w:start w:val="1"/>
      <w:numFmt w:val="decimal"/>
      <w:suff w:val="nothing"/>
      <w:lvlText w:val="%1）"/>
      <w:lvlJc w:val="left"/>
    </w:lvl>
  </w:abstractNum>
  <w:abstractNum w:abstractNumId="10">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1">
    <w:nsid w:val="71DB2B6F"/>
    <w:multiLevelType w:val="multilevel"/>
    <w:tmpl w:val="71DB2B6F"/>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4"/>
  </w:num>
  <w:num w:numId="4">
    <w:abstractNumId w:val="6"/>
  </w:num>
  <w:num w:numId="5">
    <w:abstractNumId w:val="8"/>
  </w:num>
  <w:num w:numId="6">
    <w:abstractNumId w:val="11"/>
  </w:num>
  <w:num w:numId="7">
    <w:abstractNumId w:val="7"/>
  </w:num>
  <w:num w:numId="8">
    <w:abstractNumId w:val="3"/>
  </w:num>
  <w:num w:numId="9">
    <w:abstractNumId w:val="0"/>
  </w:num>
  <w:num w:numId="10">
    <w:abstractNumId w:val="9"/>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ED4C1C"/>
    <w:rsid w:val="01AF26B7"/>
    <w:rsid w:val="01FE6DFE"/>
    <w:rsid w:val="0323790D"/>
    <w:rsid w:val="04FD29DF"/>
    <w:rsid w:val="06987A6B"/>
    <w:rsid w:val="08AA2984"/>
    <w:rsid w:val="090309E9"/>
    <w:rsid w:val="093F1907"/>
    <w:rsid w:val="0A5C3D7C"/>
    <w:rsid w:val="0A931F6C"/>
    <w:rsid w:val="0C487CC9"/>
    <w:rsid w:val="0C932AF3"/>
    <w:rsid w:val="0CAF1A5B"/>
    <w:rsid w:val="0F335050"/>
    <w:rsid w:val="105A2DE6"/>
    <w:rsid w:val="12DE1103"/>
    <w:rsid w:val="15125EB9"/>
    <w:rsid w:val="16303C14"/>
    <w:rsid w:val="16F51344"/>
    <w:rsid w:val="175B3B7E"/>
    <w:rsid w:val="18593045"/>
    <w:rsid w:val="187C12B5"/>
    <w:rsid w:val="1B1E37E6"/>
    <w:rsid w:val="1BBC0D98"/>
    <w:rsid w:val="1F5C774F"/>
    <w:rsid w:val="1FD130B1"/>
    <w:rsid w:val="21082DEE"/>
    <w:rsid w:val="217F4149"/>
    <w:rsid w:val="21BC24B8"/>
    <w:rsid w:val="241D185F"/>
    <w:rsid w:val="264A4624"/>
    <w:rsid w:val="26AB7998"/>
    <w:rsid w:val="290B65DD"/>
    <w:rsid w:val="2AB46203"/>
    <w:rsid w:val="2BA859B4"/>
    <w:rsid w:val="2C8F1137"/>
    <w:rsid w:val="2D8700B6"/>
    <w:rsid w:val="2E61085A"/>
    <w:rsid w:val="2F10677F"/>
    <w:rsid w:val="327922CC"/>
    <w:rsid w:val="34CC45C7"/>
    <w:rsid w:val="36675197"/>
    <w:rsid w:val="366F67DB"/>
    <w:rsid w:val="36836485"/>
    <w:rsid w:val="395A441A"/>
    <w:rsid w:val="396F1ACC"/>
    <w:rsid w:val="3982126C"/>
    <w:rsid w:val="4116142C"/>
    <w:rsid w:val="430101D5"/>
    <w:rsid w:val="43087749"/>
    <w:rsid w:val="4449024F"/>
    <w:rsid w:val="44D7226A"/>
    <w:rsid w:val="466D1D0B"/>
    <w:rsid w:val="48195818"/>
    <w:rsid w:val="48CB3E3A"/>
    <w:rsid w:val="4B06628E"/>
    <w:rsid w:val="4C9478D7"/>
    <w:rsid w:val="4CCE4744"/>
    <w:rsid w:val="4F1E43AE"/>
    <w:rsid w:val="4F306D3B"/>
    <w:rsid w:val="50E91A55"/>
    <w:rsid w:val="51F033CC"/>
    <w:rsid w:val="52236C1D"/>
    <w:rsid w:val="53845403"/>
    <w:rsid w:val="53E3328B"/>
    <w:rsid w:val="540A020B"/>
    <w:rsid w:val="54A519C2"/>
    <w:rsid w:val="56E61DDC"/>
    <w:rsid w:val="573D3E6A"/>
    <w:rsid w:val="583E6EF9"/>
    <w:rsid w:val="58701BDB"/>
    <w:rsid w:val="5A0566D8"/>
    <w:rsid w:val="5A8528AF"/>
    <w:rsid w:val="5EDF1DD1"/>
    <w:rsid w:val="61592E59"/>
    <w:rsid w:val="63356CA1"/>
    <w:rsid w:val="634573D0"/>
    <w:rsid w:val="6505784E"/>
    <w:rsid w:val="681B0C3F"/>
    <w:rsid w:val="697076A8"/>
    <w:rsid w:val="69D53C1C"/>
    <w:rsid w:val="6C072686"/>
    <w:rsid w:val="6D7E4059"/>
    <w:rsid w:val="6DAF4652"/>
    <w:rsid w:val="6F8D18DC"/>
    <w:rsid w:val="71A60D02"/>
    <w:rsid w:val="726B084D"/>
    <w:rsid w:val="73E2407B"/>
    <w:rsid w:val="748537B4"/>
    <w:rsid w:val="78A75A58"/>
    <w:rsid w:val="7A3029F4"/>
    <w:rsid w:val="7B63225C"/>
    <w:rsid w:val="7D613D9E"/>
    <w:rsid w:val="7F1D44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unhideWhenUsed/>
    <w:uiPriority w:val="99"/>
    <w:pPr>
      <w:spacing w:after="120"/>
      <w:ind w:left="420" w:leftChars="200"/>
    </w:pPr>
  </w:style>
  <w:style w:type="paragraph" w:styleId="4">
    <w:name w:val="Plain Text"/>
    <w:basedOn w:val="1"/>
    <w:unhideWhenUsed/>
    <w:qFormat/>
    <w:uiPriority w:val="0"/>
    <w:rPr>
      <w:rFonts w:ascii="宋体" w:hAnsi="Courier New"/>
    </w:rPr>
  </w:style>
  <w:style w:type="paragraph" w:styleId="5">
    <w:name w:val="Balloon Text"/>
    <w:basedOn w:val="1"/>
    <w:link w:val="17"/>
    <w:semiHidden/>
    <w:unhideWhenUsed/>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qFormat/>
    <w:uiPriority w:val="0"/>
    <w:pPr>
      <w:spacing w:after="0"/>
      <w:ind w:left="0" w:leftChars="0" w:firstLine="420" w:firstLineChars="200"/>
      <w:jc w:val="left"/>
    </w:pPr>
    <w:rPr>
      <w:rFonts w:ascii="宋体" w:hAnsi="宋体" w:eastAsia="仿宋_GB2312"/>
      <w:color w:val="000000"/>
      <w:sz w:val="28"/>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uiPriority w:val="99"/>
    <w:rPr>
      <w:rFonts w:ascii="Times New Roman" w:hAnsi="Times New Roman" w:eastAsia="宋体" w:cs="Times New Roman"/>
      <w:sz w:val="18"/>
      <w:szCs w:val="18"/>
    </w:rPr>
  </w:style>
  <w:style w:type="character" w:customStyle="1" w:styleId="16">
    <w:name w:val="页脚 Char"/>
    <w:basedOn w:val="12"/>
    <w:link w:val="6"/>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Joyce</cp:lastModifiedBy>
  <cp:lastPrinted>2019-05-13T03:19:00Z</cp:lastPrinted>
  <dcterms:modified xsi:type="dcterms:W3CDTF">2020-04-22T23:32:47Z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