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6" w:type="dxa"/>
            <w:vAlign w:val="center"/>
          </w:tcPr>
          <w:p>
            <w:pPr>
              <w:rPr>
                <w:sz w:val="24"/>
                <w:szCs w:val="24"/>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总经理</w:t>
            </w:r>
            <w:r>
              <w:rPr>
                <w:rFonts w:hint="eastAsia" w:asciiTheme="minorEastAsia" w:hAnsiTheme="minorEastAsia" w:eastAsiaTheme="minorEastAsia" w:cstheme="minorEastAsia"/>
                <w:sz w:val="21"/>
                <w:szCs w:val="21"/>
                <w:lang w:val="en-US" w:eastAsia="zh-CN"/>
              </w:rPr>
              <w:t>/管代</w:t>
            </w:r>
            <w:r>
              <w:rPr>
                <w:rFonts w:hint="eastAsia" w:asciiTheme="minorEastAsia" w:hAnsiTheme="minorEastAsia" w:eastAsiaTheme="minorEastAsia" w:cstheme="minorEastAsia"/>
                <w:sz w:val="21"/>
                <w:szCs w:val="21"/>
              </w:rPr>
              <w:t>：黄宗伟</w:t>
            </w:r>
            <w:r>
              <w:rPr>
                <w:rFonts w:hint="eastAsia" w:asciiTheme="minorEastAsia" w:hAnsiTheme="minorEastAsia" w:eastAsiaTheme="minorEastAsia" w:cstheme="minorEastAsia"/>
                <w:sz w:val="21"/>
                <w:szCs w:val="21"/>
                <w:lang w:val="en-US" w:eastAsia="zh-CN"/>
              </w:rPr>
              <w:t xml:space="preserve">      其他人员：</w:t>
            </w:r>
            <w:r>
              <w:rPr>
                <w:rFonts w:hint="eastAsia" w:asciiTheme="minorEastAsia" w:hAnsiTheme="minorEastAsia" w:eastAsiaTheme="minorEastAsia" w:cstheme="minorEastAsia"/>
                <w:sz w:val="21"/>
                <w:szCs w:val="21"/>
              </w:rPr>
              <w:t>赵金山</w:t>
            </w:r>
            <w:r>
              <w:rPr>
                <w:rFonts w:hint="eastAsia" w:asciiTheme="minorEastAsia" w:hAnsiTheme="minorEastAsia" w:eastAsiaTheme="minorEastAsia" w:cstheme="minorEastAsia"/>
                <w:sz w:val="21"/>
                <w:szCs w:val="21"/>
                <w:lang w:eastAsia="zh-CN"/>
              </w:rPr>
              <w:t>、赵金良等</w:t>
            </w:r>
          </w:p>
        </w:tc>
        <w:tc>
          <w:tcPr>
            <w:tcW w:w="7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6" w:type="dxa"/>
            <w:vAlign w:val="center"/>
          </w:tcPr>
          <w:p>
            <w:pPr>
              <w:spacing w:before="120"/>
            </w:pPr>
            <w:r>
              <w:rPr>
                <w:rFonts w:hint="eastAsia" w:asciiTheme="minorEastAsia" w:hAnsiTheme="minorEastAsia" w:eastAsiaTheme="minorEastAsia" w:cstheme="minorEastAsia"/>
                <w:sz w:val="21"/>
                <w:szCs w:val="21"/>
              </w:rPr>
              <w:t>审核员：朱晓丽   审核时间：2020年4月15日</w:t>
            </w:r>
          </w:p>
        </w:tc>
        <w:tc>
          <w:tcPr>
            <w:tcW w:w="7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6" w:type="dxa"/>
            <w:vAlign w:val="center"/>
          </w:tcPr>
          <w:p>
            <w:pPr>
              <w:rPr>
                <w:sz w:val="24"/>
                <w:szCs w:val="24"/>
              </w:rPr>
            </w:pPr>
            <w:r>
              <w:rPr>
                <w:rFonts w:hint="eastAsia" w:asciiTheme="minorEastAsia" w:hAnsiTheme="minorEastAsia" w:eastAsiaTheme="minorEastAsia" w:cstheme="minorEastAsia"/>
                <w:sz w:val="21"/>
                <w:szCs w:val="21"/>
                <w:lang w:val="en-US" w:eastAsia="zh-CN"/>
              </w:rPr>
              <w:t>略</w:t>
            </w:r>
          </w:p>
        </w:tc>
        <w:tc>
          <w:tcPr>
            <w:tcW w:w="7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hint="eastAsia"/>
                <w:szCs w:val="21"/>
              </w:rPr>
            </w:pPr>
            <w:r>
              <w:rPr>
                <w:rFonts w:hint="eastAsia"/>
                <w:szCs w:val="21"/>
              </w:rPr>
              <w:t>环评报告及环评验收</w:t>
            </w:r>
          </w:p>
          <w:p>
            <w:pPr>
              <w:spacing w:line="400" w:lineRule="exact"/>
              <w:rPr>
                <w:rFonts w:hint="default" w:eastAsia="宋体"/>
                <w:lang w:val="en-US" w:eastAsia="zh-CN"/>
              </w:rPr>
            </w:pPr>
            <w:r>
              <w:rPr>
                <w:rFonts w:hint="eastAsia"/>
                <w:szCs w:val="21"/>
              </w:rPr>
              <w:t>相关监测报告（</w:t>
            </w:r>
            <w:r>
              <w:rPr>
                <w:szCs w:val="21"/>
              </w:rPr>
              <w:t>EMS</w:t>
            </w:r>
            <w:r>
              <w:rPr>
                <w:rFonts w:hint="eastAsia"/>
                <w:szCs w:val="21"/>
              </w:rPr>
              <w:t>、</w:t>
            </w:r>
            <w:r>
              <w:rPr>
                <w:szCs w:val="21"/>
              </w:rPr>
              <w:t>OHS</w:t>
            </w:r>
            <w:r>
              <w:rPr>
                <w:rFonts w:hint="eastAsia"/>
                <w:szCs w:val="21"/>
              </w:rPr>
              <w:t>）</w:t>
            </w:r>
          </w:p>
        </w:tc>
        <w:tc>
          <w:tcPr>
            <w:tcW w:w="960" w:type="dxa"/>
          </w:tcPr>
          <w:p/>
        </w:tc>
        <w:tc>
          <w:tcPr>
            <w:tcW w:w="1079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微信查看2018年1月水泥构件生产项目环境影响报告表、栾环表（2018）065号批复意见、2018年竣工环境保护验收专家验收意见原件，有专家签字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微信查看排污许可证原件，符合要求。</w:t>
            </w:r>
          </w:p>
          <w:p/>
        </w:tc>
        <w:tc>
          <w:tcPr>
            <w:tcW w:w="79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r>
              <w:rPr>
                <w:rFonts w:hint="eastAsia" w:ascii="Tahoma" w:hAnsi="Tahoma" w:cs="Tahoma"/>
                <w:szCs w:val="21"/>
                <w:lang w:val="en-US" w:eastAsia="zh-CN"/>
              </w:rPr>
              <w:t>Q8.3</w:t>
            </w:r>
            <w:r>
              <w:rPr>
                <w:rFonts w:hint="eastAsia" w:ascii="Tahoma" w:hAnsi="Tahoma" w:cs="Tahoma"/>
                <w:szCs w:val="21"/>
                <w:lang w:eastAsia="zh-CN"/>
              </w:rPr>
              <w:t>不适用条款确认</w:t>
            </w:r>
          </w:p>
        </w:tc>
        <w:tc>
          <w:tcPr>
            <w:tcW w:w="960" w:type="dxa"/>
            <w:vAlign w:val="top"/>
          </w:tcPr>
          <w:p>
            <w:pPr>
              <w:tabs>
                <w:tab w:val="left" w:pos="7380"/>
              </w:tabs>
            </w:pPr>
          </w:p>
        </w:tc>
        <w:tc>
          <w:tcPr>
            <w:tcW w:w="10796" w:type="dxa"/>
            <w:vAlign w:val="top"/>
          </w:tcPr>
          <w:p>
            <w:pPr>
              <w:spacing w:line="360" w:lineRule="auto"/>
            </w:pPr>
            <w:bookmarkStart w:id="0" w:name="_GoBack"/>
            <w:r>
              <w:rPr>
                <w:rFonts w:hint="eastAsia" w:asciiTheme="minorEastAsia" w:hAnsiTheme="minorEastAsia" w:eastAsiaTheme="minorEastAsia" w:cstheme="minorEastAsia"/>
                <w:b w:val="0"/>
                <w:bCs w:val="0"/>
                <w:sz w:val="21"/>
                <w:szCs w:val="21"/>
                <w:lang w:val="en-US" w:eastAsia="zh-CN"/>
              </w:rPr>
              <w:t>Q8.3不适用：</w:t>
            </w:r>
            <w:r>
              <w:rPr>
                <w:rFonts w:hint="eastAsia" w:ascii="宋体" w:hAnsi="宋体"/>
                <w:b w:val="0"/>
                <w:bCs w:val="0"/>
                <w:sz w:val="21"/>
                <w:szCs w:val="21"/>
              </w:rPr>
              <w:t>产品按国家标准或客户要求生产制造，不涉及设计研发，故公司目前不适用 “8.3  产品和服务的设计和开发”条款。不适用的要求不影响组织确保产品和服务的符合性以及增强顾客满意的能力或责任。</w:t>
            </w:r>
            <w:bookmarkEnd w:id="0"/>
          </w:p>
        </w:tc>
        <w:tc>
          <w:tcPr>
            <w:tcW w:w="79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Tahoma" w:hAnsi="Tahoma" w:cs="Tahoma"/>
                <w:color w:val="auto"/>
                <w:szCs w:val="21"/>
                <w:lang w:val="en-US" w:eastAsia="zh-CN"/>
              </w:rPr>
            </w:pPr>
            <w:r>
              <w:rPr>
                <w:rFonts w:hint="eastAsia"/>
                <w:color w:val="auto"/>
              </w:rPr>
              <w:t>风险和机遇的识别、企业内外部环境分析及相关方的需求和知识</w:t>
            </w:r>
          </w:p>
        </w:tc>
        <w:tc>
          <w:tcPr>
            <w:tcW w:w="960" w:type="dxa"/>
            <w:vAlign w:val="top"/>
          </w:tcPr>
          <w:p>
            <w:pPr>
              <w:tabs>
                <w:tab w:val="left" w:pos="7380"/>
              </w:tabs>
              <w:rPr>
                <w:color w:val="auto"/>
              </w:rPr>
            </w:pPr>
          </w:p>
        </w:tc>
        <w:tc>
          <w:tcPr>
            <w:tcW w:w="10796" w:type="dxa"/>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编制了《风险和机遇的应对控制程序》。</w:t>
            </w:r>
          </w:p>
          <w:p>
            <w:pPr>
              <w:rPr>
                <w:rFonts w:hint="eastAsia" w:ascii="宋体" w:hAnsi="宋体" w:eastAsia="宋体" w:cs="宋体"/>
                <w:color w:val="auto"/>
                <w:sz w:val="21"/>
                <w:szCs w:val="21"/>
              </w:rPr>
            </w:pPr>
            <w:r>
              <w:rPr>
                <w:rFonts w:hint="eastAsia" w:ascii="宋体" w:hAnsi="宋体" w:eastAsia="宋体" w:cs="宋体"/>
                <w:color w:val="auto"/>
                <w:sz w:val="21"/>
                <w:szCs w:val="21"/>
              </w:rPr>
              <w:t>查见“SWOT分析”“风险机遇措施实施计划表”，确定了组织需应对的风险和机遇。</w:t>
            </w:r>
          </w:p>
          <w:p>
            <w:pPr>
              <w:tabs>
                <w:tab w:val="left" w:pos="7380"/>
              </w:tabs>
              <w:rPr>
                <w:color w:val="auto"/>
              </w:rPr>
            </w:pPr>
            <w:r>
              <w:rPr>
                <w:rFonts w:hint="eastAsia" w:ascii="宋体" w:hAnsi="宋体" w:eastAsia="宋体" w:cs="宋体"/>
                <w:color w:val="auto"/>
                <w:sz w:val="21"/>
                <w:szCs w:val="21"/>
              </w:rPr>
              <w:t>组织在确定这些风险和机遇时，考虑了员工岗位技能、生产能力、市场需求等内外部因素及合同方（顾客）的相关要求。评审情况均为符合发展要求，评审人：黄宗伟 赵金山 尹红军 赵金良 任标  2020.3.5措施正在实施中。</w:t>
            </w:r>
          </w:p>
        </w:tc>
        <w:tc>
          <w:tcPr>
            <w:tcW w:w="79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olor w:val="auto"/>
              </w:rPr>
            </w:pPr>
            <w:r>
              <w:rPr>
                <w:rFonts w:hint="eastAsia" w:asciiTheme="minorEastAsia" w:hAnsiTheme="minorEastAsia" w:eastAsiaTheme="minorEastAsia" w:cstheme="minorEastAsia"/>
                <w:sz w:val="21"/>
                <w:szCs w:val="21"/>
              </w:rPr>
              <w:t>受审核方是否策划和实施了内部审核；了解管理评审控制情况</w:t>
            </w:r>
          </w:p>
        </w:tc>
        <w:tc>
          <w:tcPr>
            <w:tcW w:w="960" w:type="dxa"/>
            <w:vAlign w:val="top"/>
          </w:tcPr>
          <w:p>
            <w:pPr>
              <w:tabs>
                <w:tab w:val="left" w:pos="7380"/>
              </w:tabs>
              <w:rPr>
                <w:color w:val="auto"/>
              </w:rPr>
            </w:pPr>
          </w:p>
        </w:tc>
        <w:tc>
          <w:tcPr>
            <w:tcW w:w="1079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内审时间：2020年3月11日—12日，有计划、检查表、不符合报告、审核报告，符合要求。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管理评审的时间：2020.03.30   有计划，输入资料、评审报告，符合要求。</w:t>
            </w:r>
          </w:p>
          <w:p>
            <w:pPr>
              <w:rPr>
                <w:rFonts w:hint="eastAsia" w:ascii="宋体" w:hAnsi="宋体" w:eastAsia="宋体" w:cs="宋体"/>
                <w:color w:val="auto"/>
                <w:sz w:val="21"/>
                <w:szCs w:val="21"/>
              </w:rPr>
            </w:pPr>
          </w:p>
        </w:tc>
        <w:tc>
          <w:tcPr>
            <w:tcW w:w="793"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Tahoma" w:hAnsi="Tahoma" w:cs="Tahoma"/>
                <w:szCs w:val="21"/>
                <w:lang w:val="en-US" w:eastAsia="zh-CN"/>
              </w:rPr>
            </w:pPr>
            <w:r>
              <w:rPr>
                <w:rFonts w:hint="eastAsia"/>
                <w:szCs w:val="21"/>
              </w:rPr>
              <w:t>方针、目标、指标和方案情况</w:t>
            </w:r>
          </w:p>
        </w:tc>
        <w:tc>
          <w:tcPr>
            <w:tcW w:w="960" w:type="dxa"/>
            <w:vAlign w:val="top"/>
          </w:tcPr>
          <w:p>
            <w:pPr>
              <w:spacing w:line="400" w:lineRule="exact"/>
            </w:pPr>
          </w:p>
        </w:tc>
        <w:tc>
          <w:tcPr>
            <w:tcW w:w="10796" w:type="dxa"/>
            <w:vAlign w:val="top"/>
          </w:tcPr>
          <w:p>
            <w:pPr>
              <w:rPr>
                <w:rFonts w:hint="eastAsia"/>
              </w:rPr>
            </w:pPr>
            <w:r>
              <w:rPr>
                <w:rFonts w:hint="eastAsia"/>
              </w:rPr>
              <w:t>管理方针：</w:t>
            </w:r>
          </w:p>
          <w:p>
            <w:pPr>
              <w:rPr>
                <w:rFonts w:hint="eastAsia"/>
              </w:rPr>
            </w:pPr>
            <w:r>
              <w:rPr>
                <w:rFonts w:hint="eastAsia"/>
              </w:rPr>
              <w:t>科学管理，质量领先，持续改进，顾客满意；</w:t>
            </w:r>
          </w:p>
          <w:p>
            <w:pPr>
              <w:rPr>
                <w:rFonts w:hint="eastAsia"/>
              </w:rPr>
            </w:pPr>
            <w:r>
              <w:rPr>
                <w:rFonts w:hint="eastAsia"/>
              </w:rPr>
              <w:t>节能降耗，环境保护，预防污染，协调发展；</w:t>
            </w:r>
          </w:p>
          <w:p>
            <w:pPr>
              <w:rPr>
                <w:rFonts w:hint="eastAsia"/>
              </w:rPr>
            </w:pPr>
            <w:r>
              <w:rPr>
                <w:rFonts w:hint="eastAsia"/>
              </w:rPr>
              <w:t>员工参与，职业健康，层级控制，劳动安全；</w:t>
            </w:r>
          </w:p>
          <w:p>
            <w:pPr>
              <w:rPr>
                <w:rFonts w:hint="eastAsia"/>
              </w:rPr>
            </w:pPr>
            <w:r>
              <w:rPr>
                <w:rFonts w:hint="eastAsia"/>
              </w:rPr>
              <w:t>守法诚信，预防为主，持续改进，追求卓越。</w:t>
            </w:r>
          </w:p>
          <w:p>
            <w:pPr>
              <w:spacing w:line="400" w:lineRule="exact"/>
              <w:rPr>
                <w:rFonts w:hint="eastAsia"/>
              </w:rPr>
            </w:pPr>
            <w:r>
              <w:rPr>
                <w:rFonts w:hint="eastAsia"/>
              </w:rPr>
              <w:t>管理方针与企业的经营宗旨相适应，协调；通过会议传达，沟通，让全体员工理解执行。并定期进行评审（一般一年一次）。</w:t>
            </w:r>
          </w:p>
          <w:p>
            <w:pPr>
              <w:pStyle w:val="2"/>
              <w:rPr>
                <w:rFonts w:hint="eastAsia" w:eastAsia="宋体"/>
                <w:lang w:eastAsia="zh-CN"/>
              </w:rPr>
            </w:pPr>
            <w:r>
              <w:rPr>
                <w:rFonts w:hint="eastAsia" w:ascii="宋体" w:hAnsi="宋体" w:eastAsia="宋体" w:cs="宋体"/>
                <w:sz w:val="21"/>
                <w:szCs w:val="21"/>
                <w:lang w:eastAsia="zh-CN"/>
              </w:rPr>
              <w:t>制定了管理目标，</w:t>
            </w:r>
            <w:r>
              <w:rPr>
                <w:rFonts w:hint="eastAsia" w:ascii="宋体" w:hAnsi="宋体" w:eastAsia="宋体" w:cs="宋体"/>
                <w:sz w:val="21"/>
                <w:szCs w:val="21"/>
              </w:rPr>
              <w:t>对目标进行了分解，建立了各部门的分目标，每季度末对目标进行考核，查看“2019年12月-2020年3月目标完成情况统计表”，</w:t>
            </w:r>
            <w:r>
              <w:rPr>
                <w:rFonts w:hint="eastAsia" w:ascii="宋体" w:hAnsi="宋体" w:eastAsia="宋体" w:cs="宋体"/>
                <w:sz w:val="21"/>
                <w:szCs w:val="21"/>
                <w:lang w:eastAsia="zh-CN"/>
              </w:rPr>
              <w:t>详见二阶段记录。</w:t>
            </w:r>
          </w:p>
        </w:tc>
        <w:tc>
          <w:tcPr>
            <w:tcW w:w="79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160" w:type="dxa"/>
            <w:vAlign w:val="top"/>
          </w:tcPr>
          <w:p>
            <w:r>
              <w:rPr>
                <w:rFonts w:hint="eastAsia" w:asciiTheme="minorEastAsia" w:hAnsiTheme="minorEastAsia" w:eastAsiaTheme="minorEastAsia" w:cstheme="minorEastAsia"/>
                <w:sz w:val="21"/>
                <w:szCs w:val="21"/>
              </w:rPr>
              <w:t>受审核方过程危险源识别、重大危险源控制</w:t>
            </w:r>
          </w:p>
        </w:tc>
        <w:tc>
          <w:tcPr>
            <w:tcW w:w="960" w:type="dxa"/>
            <w:vAlign w:val="top"/>
          </w:tcPr>
          <w:p>
            <w:pPr>
              <w:tabs>
                <w:tab w:val="left" w:pos="7380"/>
              </w:tabs>
            </w:pPr>
          </w:p>
        </w:tc>
        <w:tc>
          <w:tcPr>
            <w:tcW w:w="1079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编制了《危险源识别、风险评价控制程序》，符合标准要求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危险源识别清单》，按照活动、区域进行了识别，其中包括：电脑、打印机、复印机产生的辐射；电源电器老化损坏、违章用电、地面油污水滑跌倒、障碍物挡路、爆炸、火灾、触电、机械伤害、物体打击、噪声伤害等，评价基本全面。</w:t>
            </w:r>
          </w:p>
          <w:p>
            <w:r>
              <w:rPr>
                <w:rFonts w:hint="eastAsia" w:asciiTheme="minorEastAsia" w:hAnsiTheme="minorEastAsia" w:eastAsiaTheme="minorEastAsia" w:cstheme="minorEastAsia"/>
                <w:sz w:val="21"/>
                <w:szCs w:val="21"/>
              </w:rPr>
              <w:t>提供《重大危险源清单》，其中重大危险源：火灾、触电、机械伤害、</w:t>
            </w:r>
            <w:r>
              <w:rPr>
                <w:rFonts w:hint="eastAsia" w:asciiTheme="minorEastAsia" w:hAnsiTheme="minorEastAsia" w:eastAsiaTheme="minorEastAsia" w:cstheme="minorEastAsia"/>
                <w:sz w:val="21"/>
                <w:szCs w:val="21"/>
                <w:lang w:eastAsia="zh-CN"/>
              </w:rPr>
              <w:t>职业病</w:t>
            </w:r>
            <w:r>
              <w:rPr>
                <w:rFonts w:hint="eastAsia" w:asciiTheme="minorEastAsia" w:hAnsiTheme="minorEastAsia" w:eastAsiaTheme="minorEastAsia" w:cstheme="minorEastAsia"/>
                <w:sz w:val="21"/>
                <w:szCs w:val="21"/>
              </w:rPr>
              <w:t>，评价准确。</w:t>
            </w:r>
          </w:p>
        </w:tc>
        <w:tc>
          <w:tcPr>
            <w:tcW w:w="79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rPr>
            </w:pPr>
            <w:r>
              <w:rPr>
                <w:rFonts w:hint="eastAsia"/>
              </w:rPr>
              <w:t>相关</w:t>
            </w:r>
            <w:r>
              <w:rPr>
                <w:rFonts w:hint="eastAsia"/>
                <w:lang w:eastAsia="zh-CN"/>
              </w:rPr>
              <w:t>法律</w:t>
            </w:r>
            <w:r>
              <w:rPr>
                <w:rFonts w:hint="eastAsia"/>
              </w:rPr>
              <w:t>法规</w:t>
            </w:r>
          </w:p>
          <w:p>
            <w:pPr>
              <w:spacing w:line="400" w:lineRule="exact"/>
              <w:rPr>
                <w:szCs w:val="21"/>
              </w:rPr>
            </w:pPr>
            <w:r>
              <w:rPr>
                <w:rFonts w:hint="eastAsia"/>
                <w:szCs w:val="21"/>
              </w:rPr>
              <w:t>合规性评价报告</w:t>
            </w:r>
            <w:r>
              <w:rPr>
                <w:szCs w:val="21"/>
              </w:rPr>
              <w:t xml:space="preserve"> </w:t>
            </w:r>
          </w:p>
          <w:p>
            <w:pPr>
              <w:spacing w:line="400" w:lineRule="exact"/>
              <w:rPr>
                <w:rFonts w:hint="eastAsia"/>
              </w:rPr>
            </w:pPr>
          </w:p>
          <w:p>
            <w:pPr>
              <w:rPr>
                <w:rFonts w:hint="eastAsia" w:asciiTheme="minorEastAsia" w:hAnsiTheme="minorEastAsia" w:eastAsiaTheme="minorEastAsia" w:cstheme="minorEastAsia"/>
                <w:sz w:val="21"/>
                <w:szCs w:val="21"/>
              </w:rPr>
            </w:pPr>
          </w:p>
        </w:tc>
        <w:tc>
          <w:tcPr>
            <w:tcW w:w="960" w:type="dxa"/>
            <w:vAlign w:val="top"/>
          </w:tcPr>
          <w:p>
            <w:pPr>
              <w:tabs>
                <w:tab w:val="left" w:pos="7380"/>
              </w:tabs>
            </w:pPr>
          </w:p>
        </w:tc>
        <w:tc>
          <w:tcPr>
            <w:tcW w:w="10796" w:type="dxa"/>
            <w:vAlign w:val="top"/>
          </w:tcPr>
          <w:p>
            <w:pPr>
              <w:spacing w:line="400" w:lineRule="exact"/>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查到《法律法规要求清单（环境</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职业健康安全）》，</w:t>
            </w:r>
            <w:r>
              <w:rPr>
                <w:rFonts w:hint="eastAsia" w:asciiTheme="minorEastAsia" w:hAnsiTheme="minorEastAsia" w:eastAsiaTheme="minorEastAsia" w:cstheme="minorEastAsia"/>
                <w:color w:val="auto"/>
                <w:sz w:val="21"/>
                <w:szCs w:val="21"/>
                <w:lang w:eastAsia="zh-CN"/>
              </w:rPr>
              <w:t>查到包括</w:t>
            </w:r>
            <w:r>
              <w:rPr>
                <w:rFonts w:hint="eastAsia" w:asciiTheme="minorEastAsia" w:hAnsiTheme="minorEastAsia" w:eastAsiaTheme="minorEastAsia" w:cstheme="minorEastAsia"/>
                <w:color w:val="auto"/>
                <w:sz w:val="21"/>
                <w:szCs w:val="21"/>
              </w:rPr>
              <w:t>中华人民共和国劳动合同法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中华人民共和国安全生产法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中华人民共和国国境卫生检疫法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中华人民共和国特种设备安全法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中华人民共和国传染病防治法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中华人民共和国电力法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中华人民共和国环境保护法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中华人民共和国水污染防治法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中华人民共和国大气污染防治法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中华人民共和国环境噪声污染防治法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中华人民共和国土壤污染防治法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中华人民共和国环境影响评价法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河北省固体废物污染环境防治条例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河北省节约能源条例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河北省水土保持条例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河北省地下水条例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中华人民共和国环境噪声污染防治法 </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lang w:val="en-US" w:eastAsia="zh-CN"/>
              </w:rPr>
              <w:t>编制：赵金山、</w:t>
            </w:r>
            <w:r>
              <w:rPr>
                <w:rFonts w:hint="eastAsia" w:asciiTheme="minorEastAsia" w:hAnsiTheme="minorEastAsia" w:eastAsiaTheme="minorEastAsia" w:cstheme="minorEastAsia"/>
                <w:color w:val="auto"/>
                <w:sz w:val="21"/>
                <w:szCs w:val="21"/>
              </w:rPr>
              <w:t>各部门负责人</w:t>
            </w:r>
            <w:r>
              <w:rPr>
                <w:rFonts w:hint="eastAsia" w:asciiTheme="minorEastAsia" w:hAnsiTheme="minorEastAsia" w:eastAsiaTheme="minorEastAsia" w:cstheme="minorEastAsia"/>
                <w:color w:val="auto"/>
                <w:sz w:val="21"/>
                <w:szCs w:val="21"/>
                <w:lang w:val="en-US" w:eastAsia="zh-CN"/>
              </w:rPr>
              <w:t xml:space="preserve">     审批：黄宗伟    日期：2019.12.5</w:t>
            </w:r>
          </w:p>
          <w:p>
            <w:pPr>
              <w:spacing w:line="400" w:lineRule="exact"/>
              <w:ind w:firstLine="420" w:firstLineChars="2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查到《法律法规遵循情况评价表 》参加人员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总经理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各部门负责人 审批：</w:t>
            </w:r>
            <w:r>
              <w:rPr>
                <w:rFonts w:hint="eastAsia" w:asciiTheme="minorEastAsia" w:hAnsiTheme="minorEastAsia" w:eastAsiaTheme="minorEastAsia" w:cstheme="minorEastAsia"/>
                <w:bCs/>
                <w:color w:val="auto"/>
                <w:sz w:val="21"/>
                <w:szCs w:val="21"/>
                <w:lang w:eastAsia="zh-CN"/>
              </w:rPr>
              <w:t>黄宗伟，</w:t>
            </w:r>
            <w:r>
              <w:rPr>
                <w:rFonts w:hint="eastAsia" w:asciiTheme="minorEastAsia" w:hAnsiTheme="minorEastAsia" w:eastAsiaTheme="minorEastAsia" w:cstheme="minorEastAsia"/>
                <w:color w:val="auto"/>
                <w:sz w:val="21"/>
                <w:szCs w:val="21"/>
              </w:rPr>
              <w:t>时间：</w:t>
            </w:r>
            <w:r>
              <w:rPr>
                <w:rFonts w:hint="eastAsia" w:asciiTheme="minorEastAsia" w:hAnsiTheme="minorEastAsia" w:eastAsiaTheme="minorEastAsia" w:cstheme="minorEastAsia"/>
                <w:color w:val="auto"/>
                <w:sz w:val="21"/>
                <w:szCs w:val="21"/>
                <w:lang w:val="en-US" w:eastAsia="zh-CN"/>
              </w:rPr>
              <w:t>2019.12.30,</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二阶段详查。</w:t>
            </w:r>
          </w:p>
        </w:tc>
        <w:tc>
          <w:tcPr>
            <w:tcW w:w="793"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szCs w:val="21"/>
              </w:rPr>
            </w:pPr>
            <w:r>
              <w:rPr>
                <w:rFonts w:hint="eastAsia"/>
                <w:szCs w:val="21"/>
              </w:rPr>
              <w:t>产品实现主要工艺</w:t>
            </w:r>
          </w:p>
          <w:p>
            <w:pPr>
              <w:rPr>
                <w:rFonts w:hint="eastAsia" w:asciiTheme="minorEastAsia" w:hAnsiTheme="minorEastAsia" w:eastAsiaTheme="minorEastAsia" w:cstheme="minorEastAsia"/>
                <w:sz w:val="21"/>
                <w:szCs w:val="21"/>
              </w:rPr>
            </w:pPr>
          </w:p>
        </w:tc>
        <w:tc>
          <w:tcPr>
            <w:tcW w:w="960" w:type="dxa"/>
            <w:vAlign w:val="top"/>
          </w:tcPr>
          <w:p>
            <w:pPr>
              <w:tabs>
                <w:tab w:val="left" w:pos="7380"/>
              </w:tabs>
            </w:pPr>
          </w:p>
        </w:tc>
        <w:tc>
          <w:tcPr>
            <w:tcW w:w="10796" w:type="dxa"/>
            <w:vAlign w:val="top"/>
          </w:tcPr>
          <w:p>
            <w:pPr>
              <w:spacing w:line="360" w:lineRule="auto"/>
              <w:ind w:firstLine="630" w:firstLineChars="3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购货（需方）单位提出委托和</w:t>
            </w:r>
            <w:r>
              <w:rPr>
                <w:rFonts w:hint="eastAsia" w:asciiTheme="minorEastAsia" w:hAnsiTheme="minorEastAsia" w:eastAsiaTheme="minorEastAsia" w:cstheme="minorEastAsia"/>
                <w:sz w:val="21"/>
                <w:szCs w:val="21"/>
                <w:lang w:eastAsia="zh-CN"/>
              </w:rPr>
              <w:t>钢筋</w:t>
            </w:r>
            <w:r>
              <w:rPr>
                <w:rFonts w:hint="eastAsia" w:asciiTheme="minorEastAsia" w:hAnsiTheme="minorEastAsia" w:eastAsiaTheme="minorEastAsia" w:cstheme="minorEastAsia"/>
                <w:sz w:val="21"/>
                <w:szCs w:val="21"/>
              </w:rPr>
              <w:t>混凝土</w:t>
            </w:r>
            <w:r>
              <w:rPr>
                <w:rFonts w:hint="eastAsia" w:asciiTheme="minorEastAsia" w:hAnsiTheme="minorEastAsia" w:eastAsiaTheme="minorEastAsia" w:cstheme="minorEastAsia"/>
                <w:sz w:val="21"/>
                <w:szCs w:val="21"/>
                <w:lang w:eastAsia="zh-CN"/>
              </w:rPr>
              <w:t>盖板</w:t>
            </w:r>
            <w:r>
              <w:rPr>
                <w:rFonts w:hint="eastAsia" w:asciiTheme="minorEastAsia" w:hAnsiTheme="minorEastAsia" w:eastAsiaTheme="minorEastAsia" w:cstheme="minorEastAsia"/>
                <w:sz w:val="21"/>
                <w:szCs w:val="21"/>
              </w:rPr>
              <w:t>质量技术要求→双方签订供需合同并明确双方责任→下达生产任务→</w:t>
            </w:r>
            <w:r>
              <w:rPr>
                <w:rFonts w:hint="eastAsia" w:asciiTheme="minorEastAsia" w:hAnsiTheme="minorEastAsia" w:eastAsiaTheme="minorEastAsia" w:cstheme="minorEastAsia"/>
                <w:sz w:val="21"/>
                <w:szCs w:val="21"/>
                <w:lang w:eastAsia="zh-CN"/>
              </w:rPr>
              <w:t>焊接钢筋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混凝土配料搅拌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灌装模具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振捣成型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养护</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出厂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售后</w:t>
            </w:r>
          </w:p>
          <w:p>
            <w:pPr>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关键</w:t>
            </w:r>
            <w:r>
              <w:rPr>
                <w:rFonts w:hint="eastAsia" w:asciiTheme="minorEastAsia" w:hAnsiTheme="minorEastAsia" w:eastAsiaTheme="minorEastAsia" w:cstheme="minorEastAsia"/>
                <w:sz w:val="21"/>
                <w:szCs w:val="21"/>
                <w:lang w:eastAsia="zh-CN"/>
              </w:rPr>
              <w:t>过程：混凝土配料搅拌</w:t>
            </w:r>
            <w:r>
              <w:rPr>
                <w:rFonts w:hint="eastAsia" w:asciiTheme="minorEastAsia" w:hAnsiTheme="minorEastAsia" w:eastAsiaTheme="minorEastAsia" w:cstheme="minorEastAsia"/>
                <w:b w:val="0"/>
                <w:bCs w:val="0"/>
                <w:color w:val="auto"/>
                <w:sz w:val="21"/>
                <w:szCs w:val="21"/>
              </w:rPr>
              <w:t>和</w:t>
            </w:r>
            <w:r>
              <w:rPr>
                <w:rFonts w:hint="eastAsia" w:asciiTheme="minorEastAsia" w:hAnsiTheme="minorEastAsia" w:eastAsiaTheme="minorEastAsia" w:cstheme="minorEastAsia"/>
                <w:sz w:val="21"/>
                <w:szCs w:val="21"/>
                <w:lang w:eastAsia="zh-CN"/>
              </w:rPr>
              <w:t>振捣成型</w:t>
            </w:r>
            <w:r>
              <w:rPr>
                <w:rFonts w:hint="eastAsia" w:asciiTheme="minorEastAsia" w:hAnsiTheme="minorEastAsia" w:eastAsiaTheme="minorEastAsia" w:cstheme="minorEastAsia"/>
                <w:sz w:val="21"/>
                <w:szCs w:val="21"/>
                <w:lang w:val="en-US" w:eastAsia="zh-CN"/>
              </w:rPr>
              <w:t xml:space="preserve">    有相应作业指导书及过程确认记录。</w:t>
            </w:r>
          </w:p>
          <w:p>
            <w:pPr>
              <w:spacing w:line="360" w:lineRule="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t>特殊过程：焊接</w:t>
            </w:r>
            <w:r>
              <w:rPr>
                <w:rFonts w:hint="eastAsia" w:asciiTheme="minorEastAsia" w:hAnsiTheme="minorEastAsia" w:eastAsiaTheme="minorEastAsia" w:cstheme="minorEastAsia"/>
                <w:sz w:val="21"/>
                <w:szCs w:val="21"/>
                <w:lang w:val="en-US" w:eastAsia="zh-CN"/>
              </w:rPr>
              <w:t xml:space="preserve">   有相应作业指导书及过程确认记录。</w:t>
            </w:r>
          </w:p>
        </w:tc>
        <w:tc>
          <w:tcPr>
            <w:tcW w:w="793"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主要生产设备</w:t>
            </w:r>
          </w:p>
          <w:p>
            <w:pPr>
              <w:pStyle w:val="2"/>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p>
        </w:tc>
        <w:tc>
          <w:tcPr>
            <w:tcW w:w="960" w:type="dxa"/>
            <w:vAlign w:val="top"/>
          </w:tcPr>
          <w:p>
            <w:pPr>
              <w:tabs>
                <w:tab w:val="left" w:pos="7380"/>
              </w:tabs>
              <w:rPr>
                <w:rFonts w:hint="eastAsia" w:asciiTheme="minorEastAsia" w:hAnsiTheme="minorEastAsia" w:eastAsiaTheme="minorEastAsia" w:cstheme="minorEastAsia"/>
                <w:sz w:val="21"/>
                <w:szCs w:val="21"/>
              </w:rPr>
            </w:pPr>
          </w:p>
        </w:tc>
        <w:tc>
          <w:tcPr>
            <w:tcW w:w="10796" w:type="dxa"/>
            <w:vAlign w:val="top"/>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查看基础设施台账，生产设备及及基础设施有：</w:t>
            </w:r>
            <w:r>
              <w:rPr>
                <w:rFonts w:hint="eastAsia" w:asciiTheme="minorEastAsia" w:hAnsiTheme="minorEastAsia" w:eastAsiaTheme="minorEastAsia" w:cstheme="minorEastAsia"/>
                <w:sz w:val="21"/>
                <w:szCs w:val="21"/>
                <w:lang w:val="en-US" w:eastAsia="zh-CN"/>
              </w:rPr>
              <w:t>搅拌机 、振捣平台、振捣设备、柴油自卸车、给料机、电焊机、调直切机、 翻斗车、桥式起重机、叉车、蒸汽锅炉等；</w:t>
            </w:r>
          </w:p>
          <w:p>
            <w:pPr>
              <w:pStyle w:val="7"/>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监测资源：</w:t>
            </w:r>
            <w:r>
              <w:rPr>
                <w:rFonts w:hint="eastAsia" w:asciiTheme="minorEastAsia" w:hAnsiTheme="minorEastAsia" w:eastAsiaTheme="minorEastAsia" w:cstheme="minorEastAsia"/>
                <w:sz w:val="21"/>
                <w:szCs w:val="21"/>
                <w:lang w:eastAsia="zh-CN"/>
              </w:rPr>
              <w:t>压力</w:t>
            </w:r>
            <w:r>
              <w:rPr>
                <w:rFonts w:hint="eastAsia" w:asciiTheme="minorEastAsia" w:hAnsiTheme="minorEastAsia" w:eastAsiaTheme="minorEastAsia" w:cstheme="minorEastAsia"/>
                <w:sz w:val="21"/>
                <w:szCs w:val="21"/>
              </w:rPr>
              <w:t>试验机、砼贯入阻力仪、搅拌机、振动台、电子天平、水泥养护箱、电热干燥箱、水泥（砼）养护箱、温度控制器、渗透仪等，提供检定合格证书</w:t>
            </w:r>
            <w:r>
              <w:rPr>
                <w:rFonts w:hint="eastAsia" w:asciiTheme="minorEastAsia" w:hAnsiTheme="minorEastAsia" w:eastAsiaTheme="minorEastAsia" w:cstheme="minorEastAsia"/>
                <w:sz w:val="21"/>
                <w:szCs w:val="21"/>
                <w:lang w:eastAsia="zh-CN"/>
              </w:rPr>
              <w:t>，查上述检测设备检定证书，均在有效期内</w:t>
            </w:r>
            <w:r>
              <w:rPr>
                <w:rFonts w:hint="eastAsia" w:asciiTheme="minorEastAsia" w:hAnsiTheme="minorEastAsia" w:eastAsiaTheme="minorEastAsia" w:cstheme="minorEastAsia"/>
                <w:sz w:val="21"/>
                <w:szCs w:val="21"/>
              </w:rPr>
              <w:t>。（见附件）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办公设备：电脑、打印机、传真机、电话等。提供维修保养计划及记录，满足要求。</w:t>
            </w:r>
          </w:p>
        </w:tc>
        <w:tc>
          <w:tcPr>
            <w:tcW w:w="793"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160" w:type="dxa"/>
            <w:vAlign w:val="top"/>
          </w:tcPr>
          <w:p>
            <w:pPr>
              <w:spacing w:line="400" w:lineRule="exact"/>
              <w:rPr>
                <w:szCs w:val="21"/>
              </w:rPr>
            </w:pPr>
            <w:r>
              <w:rPr>
                <w:rFonts w:hint="eastAsia"/>
                <w:szCs w:val="21"/>
              </w:rPr>
              <w:t>特种设备</w:t>
            </w:r>
          </w:p>
          <w:p>
            <w:pPr>
              <w:rPr>
                <w:rFonts w:hint="eastAsia" w:asciiTheme="minorEastAsia" w:hAnsiTheme="minorEastAsia" w:eastAsiaTheme="minorEastAsia" w:cstheme="minorEastAsia"/>
                <w:sz w:val="21"/>
                <w:szCs w:val="21"/>
              </w:rPr>
            </w:pPr>
          </w:p>
        </w:tc>
        <w:tc>
          <w:tcPr>
            <w:tcW w:w="960" w:type="dxa"/>
            <w:vAlign w:val="top"/>
          </w:tcPr>
          <w:p>
            <w:pPr>
              <w:tabs>
                <w:tab w:val="left" w:pos="7380"/>
              </w:tabs>
            </w:pPr>
          </w:p>
        </w:tc>
        <w:tc>
          <w:tcPr>
            <w:tcW w:w="10796" w:type="dxa"/>
            <w:vAlign w:val="top"/>
          </w:tcPr>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1.桥式起重机，见设备监督检验报告，在有效期内，提供人员操作证书。（见附件）</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2.叉车，由于疫情原因，推迟检定，企业提供说明，现场审核时追踪</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sz w:val="21"/>
                <w:szCs w:val="21"/>
                <w:lang w:val="en-US" w:eastAsia="zh-CN"/>
              </w:rPr>
              <w:t>叉车驾驶员证书（见附件）</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蒸汽锅炉，属于</w:t>
            </w:r>
            <w:r>
              <w:rPr>
                <w:rFonts w:hint="eastAsia" w:asciiTheme="minorEastAsia" w:hAnsiTheme="minorEastAsia" w:eastAsiaTheme="minorEastAsia" w:cstheme="minorEastAsia"/>
                <w:sz w:val="21"/>
                <w:szCs w:val="21"/>
                <w:lang w:val="en-US" w:eastAsia="zh-CN"/>
              </w:rPr>
              <w:t>D级，不需要监督检验，企业自检维护；</w:t>
            </w:r>
          </w:p>
        </w:tc>
        <w:tc>
          <w:tcPr>
            <w:tcW w:w="793"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top"/>
          </w:tcPr>
          <w:p>
            <w:pPr>
              <w:spacing w:line="400" w:lineRule="exact"/>
              <w:rPr>
                <w:szCs w:val="21"/>
              </w:rPr>
            </w:pPr>
            <w:r>
              <w:rPr>
                <w:rFonts w:hint="eastAsia"/>
                <w:szCs w:val="21"/>
              </w:rPr>
              <w:t>环保、安全设施</w:t>
            </w:r>
          </w:p>
          <w:p>
            <w:pPr>
              <w:rPr>
                <w:rFonts w:hint="eastAsia" w:asciiTheme="minorEastAsia" w:hAnsiTheme="minorEastAsia" w:eastAsiaTheme="minorEastAsia" w:cstheme="minorEastAsia"/>
                <w:sz w:val="21"/>
                <w:szCs w:val="21"/>
              </w:rPr>
            </w:pPr>
          </w:p>
        </w:tc>
        <w:tc>
          <w:tcPr>
            <w:tcW w:w="960" w:type="dxa"/>
            <w:vAlign w:val="top"/>
          </w:tcPr>
          <w:p>
            <w:pPr>
              <w:tabs>
                <w:tab w:val="left" w:pos="7380"/>
              </w:tabs>
            </w:pPr>
          </w:p>
        </w:tc>
        <w:tc>
          <w:tcPr>
            <w:tcW w:w="10796"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垃圾桶、</w:t>
            </w:r>
            <w:r>
              <w:rPr>
                <w:rFonts w:hint="eastAsia" w:asciiTheme="minorEastAsia" w:hAnsiTheme="minorEastAsia" w:eastAsiaTheme="minorEastAsia" w:cstheme="minorEastAsia"/>
                <w:sz w:val="21"/>
                <w:szCs w:val="21"/>
                <w:lang w:eastAsia="zh-CN"/>
              </w:rPr>
              <w:t>灭火器等</w:t>
            </w:r>
            <w:r>
              <w:rPr>
                <w:rFonts w:hint="eastAsia" w:asciiTheme="minorEastAsia" w:hAnsiTheme="minorEastAsia" w:eastAsiaTheme="minorEastAsia" w:cstheme="minorEastAsia"/>
                <w:sz w:val="21"/>
                <w:szCs w:val="21"/>
              </w:rPr>
              <w:t>消防设施；</w:t>
            </w:r>
            <w:r>
              <w:rPr>
                <w:rFonts w:hint="eastAsia" w:asciiTheme="minorEastAsia" w:hAnsiTheme="minorEastAsia" w:eastAsiaTheme="minorEastAsia" w:cstheme="minorEastAsia"/>
                <w:sz w:val="21"/>
                <w:szCs w:val="21"/>
                <w:lang w:eastAsia="zh-CN"/>
              </w:rPr>
              <w:t>提供厂区消防布置图。</w:t>
            </w:r>
          </w:p>
        </w:tc>
        <w:tc>
          <w:tcPr>
            <w:tcW w:w="793" w:type="dxa"/>
          </w:tcPr>
          <w:p>
            <w:r>
              <w:rPr>
                <w:rFonts w:hint="eastAsia"/>
                <w:lang w:val="en-US" w:eastAsia="zh-CN"/>
              </w:rPr>
              <w:t>Y</w:t>
            </w:r>
          </w:p>
        </w:tc>
      </w:tr>
    </w:tbl>
    <w:p>
      <w:r>
        <w:ptab w:relativeTo="margin" w:alignment="center" w:leader="none"/>
      </w:r>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4F6A4D"/>
    <w:rsid w:val="09C73F10"/>
    <w:rsid w:val="10830D4E"/>
    <w:rsid w:val="1269741E"/>
    <w:rsid w:val="17C62AB0"/>
    <w:rsid w:val="1ACC5D44"/>
    <w:rsid w:val="1FE71883"/>
    <w:rsid w:val="232207CA"/>
    <w:rsid w:val="26D228F1"/>
    <w:rsid w:val="297B1176"/>
    <w:rsid w:val="2D7E2B54"/>
    <w:rsid w:val="2E9A2BFF"/>
    <w:rsid w:val="31334774"/>
    <w:rsid w:val="31960EF3"/>
    <w:rsid w:val="3ADC0377"/>
    <w:rsid w:val="3B162FCB"/>
    <w:rsid w:val="3CAB1BCD"/>
    <w:rsid w:val="3F843B69"/>
    <w:rsid w:val="3FB50AF9"/>
    <w:rsid w:val="43405409"/>
    <w:rsid w:val="45BD36D1"/>
    <w:rsid w:val="53DB5F4E"/>
    <w:rsid w:val="54B22FBE"/>
    <w:rsid w:val="57116A30"/>
    <w:rsid w:val="57B35947"/>
    <w:rsid w:val="5D733DBC"/>
    <w:rsid w:val="5EE02AEB"/>
    <w:rsid w:val="627B5C5C"/>
    <w:rsid w:val="66146103"/>
    <w:rsid w:val="75176B19"/>
    <w:rsid w:val="75184B88"/>
    <w:rsid w:val="7E9B0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unhideWhenUsed/>
    <w:uiPriority w:val="99"/>
    <w:pPr>
      <w:spacing w:after="12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spacing w:after="0"/>
      <w:ind w:left="0" w:leftChars="0" w:firstLine="420" w:firstLineChars="200"/>
      <w:jc w:val="left"/>
    </w:pPr>
    <w:rPr>
      <w:rFonts w:ascii="宋体" w:hAnsi="宋体" w:eastAsia="仿宋_GB2312"/>
      <w:color w:val="000000"/>
      <w:sz w:val="28"/>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2020-04-22T23:27:41Z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