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滦县山青新型建材有限责任公司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朱晓丽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购货（需方）单位提出委托和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钢筋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混凝土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盖板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质量技术要求→双方签订供需合同并明确双方责任→下达生产任务→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焊接钢筋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混凝土配料搅拌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灌装模具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振捣成型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养护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出厂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售后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过程：混凝土配料搅拌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振捣成型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有相应作业指导书及过程确认记录。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特殊过程：焊接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有相应作业指导书及过程确认记录。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编制了《环境因素识别与评价控制程序》，符合标准要求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提供《环境因素识别排查表》，其中包括办公区、生产区等，包括固废排放、火灾、原材料损耗、废气排放、噪声排放等。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可以提供《重要环境因素清单》，其中重要环境因素：粉尘的排放、固体废弃物排放、噪声排放、火灾的发生，评价准确。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编制了《危险源识别、风险评价控制程序》，符合标准要求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《危险源识别清单》，按照活动、区域进行了识别，其中包括：电脑、打印机、复印机产生的辐射；电源电器老化损坏、违章用电、地面油污水滑跌倒、障碍物挡路、爆炸、火灾、触电、机械伤害、物体打击、噪声伤害等，评价基本全面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提供《重大危险源清单》，其中重大危险源：火灾、触电、机械伤害、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职业病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，评价准确。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查到《法律法规要求清单（环境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职业健康安全）》，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查到包括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中华人民共和国劳动合同法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中华人民共和国职业病防治法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中华人民共和国国境卫生检疫法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中华人民共和国特种设备安全法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中华人民共和国传染病防治法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中华人民共和国消防法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中华人民共和国电力法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中华人民共和国环境保护法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中华人民共和国水污染防治法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中华人民共和国大气污染防治法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中华人民共和国环境噪声污染防治法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中华人民共和国土壤污染防治法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中华人民共和国环境影响评价法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河北省固体废物污染环境防治条例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河北省节约能源条例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河北省水土保持条例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河北省地下水条例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中华人民共和国环境噪声污染防治法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编制：赵金山、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各部门负责人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审批：黄宗伟    日期：2019.12.5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查到《法律法规遵循情况评价表 》参加人员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总经理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各部门负责人 审批：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黄宗伟，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2019.12.30,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查进货检验、过程控制、出厂检验及第三方检测等项目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eastAsia="zh-CN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eastAsia="zh-CN"/>
        </w:rPr>
        <w:t>王志慧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2020年4月18</w:t>
      </w:r>
      <w:bookmarkStart w:id="6" w:name="_GoBack"/>
      <w:bookmarkEnd w:id="6"/>
      <w:r>
        <w:rPr>
          <w:rFonts w:hint="eastAsia"/>
          <w:b/>
          <w:sz w:val="18"/>
          <w:szCs w:val="18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5C13C3"/>
    <w:rsid w:val="1D453BB9"/>
    <w:rsid w:val="26AD126A"/>
    <w:rsid w:val="298B0F80"/>
    <w:rsid w:val="39F33CB0"/>
    <w:rsid w:val="4277485C"/>
    <w:rsid w:val="57772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2020-04-22T23:37:43Z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