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20155-2024-EnMS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河北天能电力器具制造有限公司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91130982784069531Q</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河北天能电力器具制造有限公司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河北省沧州市任丘市梁召工业区恒天大道8号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河北省沧州市任丘市梁召工业区恒天大道8号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携带型短路接地线、个人保护线、令克棒、接地棒、验电器、绝缘硬梯、避雷器、登高脚扣、安全围栏、安全帽、安全带、安全工具柜、拉线保护套、电缆保护管、防鸟设备、标识牌、复合绝缘子、铁附件、电杆防撞桶、警示带、电杆防撞贴、绝缘护罩、电缆标识桩、绝缘台、绝缘脚手架、升降平台、登高板、红布幔、工作马甲、安全带挂杆、工频信号发生器、安全绳、绝缘绳、安全网、绝缘胶垫、绝缘隔板、围栏插杆）、高压电器（隔离开关、跌落式熔断器）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河北天能电力器具制造有限公司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河北省沧州市任丘市梁召工业区恒天大道8号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河北省沧州市任丘市梁召工业区恒天大道8号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携带型短路接地线、个人保护线、令克棒、接地棒、验电器、绝缘硬梯、避雷器、登高脚扣、安全围栏、安全帽、安全带、安全工具柜、拉线保护套、电缆保护管、防鸟设备、标识牌、复合绝缘子、铁附件、电杆防撞桶、警示带、电杆防撞贴、绝缘护罩、电缆标识桩、绝缘台、绝缘脚手架、升降平台、登高板、红布幔、工作马甲、安全带挂杆、工频信号发生器、安全绳、绝缘绳、安全网、绝缘胶垫、绝缘隔板、围栏插杆）、高压电器（隔离开关、跌落式熔断器）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706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