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20085-2024-EnMS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029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华鼎国联四川动力电池有限公司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颜晔</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573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颜晔</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2023-N1EnMS-4096265</w:t>
            </w:r>
          </w:p>
        </w:tc>
        <w:tc>
          <w:tcPr>
            <w:tcW w:w="3145" w:type="dxa"/>
            <w:vAlign w:val="center"/>
          </w:tcPr>
          <w:p w:rsidR="00513B91">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8A7E80">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2026年01月23日上午至2026年01月26日上午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EnMS:锂离子动力电池的设计和生产所涉及的能源管理活动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成都市青白江区清泉大道二段6669号（欧洲产业城）</w:t>
      </w:r>
    </w:p>
    <w:p w:rsidR="00513B91">
      <w:pPr>
        <w:spacing w:line="360" w:lineRule="auto"/>
        <w:ind w:firstLine="420" w:firstLineChars="200"/>
      </w:pPr>
      <w:r>
        <w:rPr>
          <w:rFonts w:hint="eastAsia"/>
        </w:rPr>
        <w:t>办公地址：</w:t>
      </w:r>
      <w:r>
        <w:rPr>
          <w:rFonts w:hint="eastAsia"/>
        </w:rPr>
        <w:t>成都市青白江区清泉大道二段6669号（欧洲产业城）</w:t>
      </w:r>
    </w:p>
    <w:p w:rsidR="00513B91">
      <w:pPr>
        <w:spacing w:line="360" w:lineRule="auto"/>
        <w:ind w:firstLine="420" w:firstLineChars="200"/>
      </w:pPr>
      <w:r>
        <w:rPr>
          <w:rFonts w:hint="eastAsia"/>
        </w:rPr>
        <w:t>经营地址：</w:t>
      </w:r>
      <w:bookmarkStart w:id="11" w:name="生产地址"/>
      <w:bookmarkEnd w:id="11"/>
      <w:r>
        <w:rPr>
          <w:rFonts w:hint="eastAsia"/>
        </w:rPr>
        <w:t>成都市青白江区清泉大道二段6669号（欧洲产业城）</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8A7E80">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8A7E8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8A7E80">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8A7E80">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8A7E80">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华鼎国联四川动力电池有限公司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8A7E80">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8A7E80">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D05EEA">
              <w:rPr>
                <w:szCs w:val="21"/>
              </w:rPr>
              <w:fldChar w:fldCharType="begin"/>
            </w:r>
            <w:r>
              <w:rPr>
                <w:szCs w:val="21"/>
              </w:rPr>
              <w:instrText xml:space="preserve"> PAGE </w:instrText>
            </w:r>
            <w:r w:rsidR="00D05EEA">
              <w:rPr>
                <w:szCs w:val="21"/>
              </w:rPr>
              <w:fldChar w:fldCharType="separate"/>
            </w:r>
            <w:r w:rsidR="008A7E80">
              <w:rPr>
                <w:noProof/>
                <w:szCs w:val="21"/>
              </w:rPr>
              <w:t>1</w:t>
            </w:r>
            <w:r w:rsidR="00D05EEA">
              <w:rPr>
                <w:szCs w:val="21"/>
              </w:rPr>
              <w:fldChar w:fldCharType="end"/>
            </w:r>
            <w:r>
              <w:rPr>
                <w:rFonts w:hint="eastAsia"/>
                <w:szCs w:val="21"/>
              </w:rPr>
              <w:t>页共</w:t>
            </w:r>
            <w:r w:rsidR="00D05EEA">
              <w:rPr>
                <w:szCs w:val="21"/>
              </w:rPr>
              <w:fldChar w:fldCharType="begin"/>
            </w:r>
            <w:r>
              <w:rPr>
                <w:rFonts w:hint="eastAsia"/>
                <w:szCs w:val="21"/>
              </w:rPr>
              <w:instrText>=</w:instrText>
            </w:r>
            <w:r w:rsidR="00D05EEA">
              <w:rPr>
                <w:szCs w:val="21"/>
              </w:rPr>
              <w:fldChar w:fldCharType="begin"/>
            </w:r>
            <w:r>
              <w:rPr>
                <w:szCs w:val="21"/>
              </w:rPr>
              <w:instrText xml:space="preserve"> NUMPAGES  </w:instrText>
            </w:r>
            <w:r w:rsidR="00D05EEA">
              <w:rPr>
                <w:szCs w:val="21"/>
              </w:rPr>
              <w:fldChar w:fldCharType="separate"/>
            </w:r>
            <w:r w:rsidR="008A7E80">
              <w:rPr>
                <w:noProof/>
                <w:szCs w:val="21"/>
              </w:rPr>
              <w:instrText>12</w:instrText>
            </w:r>
            <w:r w:rsidR="00D05EEA">
              <w:rPr>
                <w:szCs w:val="21"/>
              </w:rPr>
              <w:fldChar w:fldCharType="end"/>
            </w:r>
            <w:r>
              <w:rPr>
                <w:rFonts w:hint="eastAsia"/>
                <w:szCs w:val="21"/>
              </w:rPr>
              <w:instrText>-</w:instrText>
            </w:r>
            <w:r>
              <w:rPr>
                <w:szCs w:val="21"/>
              </w:rPr>
              <w:instrText xml:space="preserve">1 </w:instrText>
            </w:r>
            <w:r w:rsidR="00D05EEA">
              <w:rPr>
                <w:szCs w:val="21"/>
              </w:rPr>
              <w:fldChar w:fldCharType="separate"/>
            </w:r>
            <w:r w:rsidR="008A7E80">
              <w:rPr>
                <w:noProof/>
                <w:szCs w:val="21"/>
              </w:rPr>
              <w:t>11</w:t>
            </w:r>
            <w:r w:rsidR="00D05EEA">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9438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