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重庆恒峰电力设备制造有限公司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20685-2023-Q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重庆市沙坪坝区垄安大道115号【铁路口岸公共仓9号行政楼塔楼】3楼311-299（自主承诺）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重庆市巴南区界石镇界南街129号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杨作明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023-65222720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023-65222720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2023年11月15日 上午至2023年11月15日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通用滤油机、干燥空气发生器、真空抽气机组的生产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18.05.07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2023-11-10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74F849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2023-11-10T05:38:18Z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