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4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cs="宋体"/>
                <w:sz w:val="24"/>
                <w:szCs w:val="24"/>
                <w:lang w:val="en-US" w:eastAsia="zh-CN"/>
              </w:rPr>
              <w:t>郭晓榜</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1009" w:type="dxa"/>
            <w:vMerge w:val="continue"/>
            <w:vAlign w:val="center"/>
          </w:tcPr>
          <w:p/>
        </w:tc>
        <w:tc>
          <w:tcPr>
            <w:tcW w:w="111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朱晓丽、张星            </w:t>
            </w:r>
            <w:r>
              <w:rPr>
                <w:rFonts w:hint="eastAsia"/>
                <w:sz w:val="24"/>
                <w:szCs w:val="24"/>
              </w:rPr>
              <w:t>审核时间：</w:t>
            </w:r>
            <w:r>
              <w:rPr>
                <w:rFonts w:hint="eastAsia"/>
                <w:sz w:val="24"/>
                <w:szCs w:val="24"/>
                <w:lang w:val="en-US" w:eastAsia="zh-CN"/>
              </w:rPr>
              <w:t>2020.4.21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1009" w:type="dxa"/>
            <w:vMerge w:val="continue"/>
            <w:vAlign w:val="center"/>
          </w:tcPr>
          <w:p/>
        </w:tc>
        <w:tc>
          <w:tcPr>
            <w:tcW w:w="11146" w:type="dxa"/>
            <w:vAlign w:val="center"/>
          </w:tcPr>
          <w:p>
            <w:pPr>
              <w:rPr>
                <w:sz w:val="24"/>
                <w:szCs w:val="24"/>
              </w:rPr>
            </w:pPr>
            <w:r>
              <w:rPr>
                <w:rFonts w:hint="eastAsia"/>
                <w:sz w:val="24"/>
                <w:szCs w:val="24"/>
              </w:rPr>
              <w:t>审核条款：</w:t>
            </w:r>
            <w:r>
              <w:rPr>
                <w:rFonts w:hint="eastAsia"/>
                <w:sz w:val="21"/>
                <w:szCs w:val="21"/>
                <w:lang w:val="en-US" w:eastAsia="zh-CN"/>
              </w:rPr>
              <w:t>QE</w:t>
            </w:r>
            <w:r>
              <w:rPr>
                <w:rFonts w:hint="eastAsia"/>
                <w:sz w:val="21"/>
                <w:szCs w:val="21"/>
              </w:rPr>
              <w:t>4.1/4.3/4.4/5.2/6.2/7.1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1009" w:type="dxa"/>
            <w:vAlign w:val="top"/>
          </w:tcPr>
          <w:p>
            <w:pPr>
              <w:rPr>
                <w:rFonts w:hint="eastAsia"/>
                <w:lang w:val="en-US" w:eastAsia="zh-CN"/>
              </w:rPr>
            </w:pPr>
            <w:r>
              <w:rPr>
                <w:rFonts w:hint="eastAsia"/>
                <w:lang w:val="en-US" w:eastAsia="zh-CN"/>
              </w:rPr>
              <w:t>QE4.1</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1146" w:type="dxa"/>
            <w:vAlign w:val="top"/>
          </w:tcPr>
          <w:p>
            <w:pPr>
              <w:rPr>
                <w:rFonts w:hint="eastAsia" w:eastAsia="宋体"/>
                <w:sz w:val="21"/>
                <w:szCs w:val="21"/>
                <w:lang w:val="en-US" w:eastAsia="zh-CN"/>
              </w:rPr>
            </w:pPr>
            <w:r>
              <w:rPr>
                <w:rFonts w:hint="eastAsia"/>
                <w:sz w:val="21"/>
                <w:szCs w:val="21"/>
              </w:rPr>
              <w:t>总经理</w:t>
            </w:r>
            <w:r>
              <w:rPr>
                <w:rFonts w:hint="eastAsia"/>
                <w:sz w:val="21"/>
                <w:szCs w:val="21"/>
                <w:lang w:val="en-US" w:eastAsia="zh-CN"/>
              </w:rPr>
              <w:t>：郭晓榜，</w:t>
            </w:r>
            <w:r>
              <w:rPr>
                <w:rFonts w:hint="eastAsia"/>
                <w:sz w:val="21"/>
                <w:szCs w:val="21"/>
              </w:rPr>
              <w:t>管理者代表：</w:t>
            </w:r>
            <w:r>
              <w:rPr>
                <w:rFonts w:hint="eastAsia"/>
                <w:sz w:val="21"/>
                <w:szCs w:val="21"/>
                <w:lang w:eastAsia="zh-CN"/>
              </w:rPr>
              <w:t>苗丽</w:t>
            </w:r>
          </w:p>
          <w:p>
            <w:pPr>
              <w:rPr>
                <w:rFonts w:hint="eastAsia" w:ascii="Times New Roman" w:hAnsi="Times New Roman" w:cs="Times New Roman"/>
                <w:sz w:val="21"/>
                <w:szCs w:val="21"/>
                <w:lang w:eastAsia="zh-CN"/>
              </w:rPr>
            </w:pPr>
            <w:r>
              <w:t>■</w:t>
            </w:r>
            <w:r>
              <w:rPr>
                <w:rFonts w:hint="eastAsia" w:ascii="宋体" w:hAnsi="宋体" w:eastAsia="宋体" w:cs="宋体"/>
                <w:sz w:val="21"/>
                <w:szCs w:val="21"/>
              </w:rPr>
              <w:t>受审核方</w:t>
            </w:r>
            <w:r>
              <w:rPr>
                <w:rFonts w:hint="eastAsia" w:ascii="宋体" w:hAnsi="宋体" w:eastAsia="宋体" w:cs="宋体"/>
                <w:sz w:val="21"/>
                <w:szCs w:val="21"/>
                <w:lang w:val="en-US" w:eastAsia="zh-CN"/>
              </w:rPr>
              <w:t>石家庄市晟邦家具有限公司成立于2015</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日，注册资本</w:t>
            </w:r>
            <w:r>
              <w:rPr>
                <w:rFonts w:hint="eastAsia" w:ascii="宋体" w:hAnsi="宋体" w:eastAsia="宋体" w:cs="宋体"/>
                <w:sz w:val="21"/>
                <w:szCs w:val="21"/>
                <w:lang w:val="en-US" w:eastAsia="zh-CN"/>
              </w:rPr>
              <w:t>518</w:t>
            </w:r>
            <w:r>
              <w:rPr>
                <w:rFonts w:hint="eastAsia" w:ascii="宋体" w:hAnsi="宋体" w:eastAsia="宋体" w:cs="宋体"/>
                <w:sz w:val="21"/>
                <w:szCs w:val="21"/>
              </w:rPr>
              <w:t>万元，地址位于河北省石家庄市行唐县经济开发区科技大街路北，</w:t>
            </w:r>
            <w:r>
              <w:rPr>
                <w:rFonts w:hint="eastAsia" w:ascii="宋体" w:hAnsi="宋体" w:eastAsia="宋体" w:cs="宋体"/>
                <w:sz w:val="21"/>
                <w:szCs w:val="21"/>
                <w:lang w:val="en-US" w:eastAsia="zh-CN"/>
              </w:rPr>
              <w:t>生产面积约1900平米</w:t>
            </w:r>
            <w:r>
              <w:rPr>
                <w:rFonts w:hint="eastAsia" w:ascii="宋体" w:hAnsi="宋体" w:eastAsia="宋体" w:cs="宋体"/>
                <w:sz w:val="21"/>
                <w:szCs w:val="21"/>
              </w:rPr>
              <w:t>，主要从事办公家具的生产和销售</w:t>
            </w:r>
            <w:r>
              <w:rPr>
                <w:rFonts w:hint="eastAsia" w:ascii="Times New Roman" w:hAnsi="Times New Roman" w:cs="Times New Roman"/>
                <w:sz w:val="21"/>
                <w:szCs w:val="21"/>
                <w:lang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w:t>
            </w:r>
            <w:r>
              <w:rPr>
                <w:rFonts w:hint="eastAsia"/>
                <w:lang w:val="en-US" w:eastAsia="zh-CN"/>
              </w:rPr>
              <w:t>PDCA</w:t>
            </w:r>
            <w:r>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spacing w:line="240" w:lineRule="auto"/>
              <w:rPr>
                <w:rFonts w:hint="eastAsia" w:ascii="宋体" w:hAnsi="宋体" w:eastAsia="宋体" w:cs="宋体"/>
                <w:sz w:val="21"/>
                <w:szCs w:val="21"/>
              </w:rPr>
            </w:pPr>
            <w:r>
              <w:rPr>
                <w:rFonts w:hint="eastAsia" w:ascii="宋体" w:hAnsi="宋体" w:eastAsia="宋体" w:cs="宋体"/>
                <w:sz w:val="21"/>
                <w:szCs w:val="21"/>
              </w:rPr>
              <w:t>Q：办公家具的生产和销售</w:t>
            </w:r>
          </w:p>
          <w:p>
            <w:pPr>
              <w:rPr>
                <w:rFonts w:hint="eastAsia" w:ascii="宋体" w:hAnsi="宋体" w:eastAsia="宋体" w:cs="宋体"/>
                <w:sz w:val="21"/>
                <w:szCs w:val="21"/>
                <w:lang w:eastAsia="zh-CN"/>
              </w:rPr>
            </w:pPr>
            <w:r>
              <w:rPr>
                <w:rFonts w:hint="eastAsia" w:ascii="宋体" w:hAnsi="宋体" w:eastAsia="宋体" w:cs="宋体"/>
                <w:sz w:val="21"/>
                <w:szCs w:val="21"/>
              </w:rPr>
              <w:t>E：办公家具的生产和销售</w:t>
            </w:r>
            <w:r>
              <w:rPr>
                <w:rFonts w:hint="eastAsia" w:ascii="宋体" w:hAnsi="宋体" w:eastAsia="宋体" w:cs="宋体"/>
                <w:sz w:val="21"/>
                <w:szCs w:val="21"/>
                <w:lang w:eastAsia="zh-CN"/>
              </w:rPr>
              <w:t>及其所涉及的环境管理活动</w:t>
            </w:r>
          </w:p>
          <w:p>
            <w:r>
              <w:t>■</w:t>
            </w:r>
            <w:r>
              <w:rPr>
                <w:rFonts w:hint="eastAsia" w:ascii="宋体" w:hAnsi="宋体" w:eastAsia="宋体" w:cs="宋体"/>
                <w:sz w:val="21"/>
                <w:szCs w:val="21"/>
                <w:lang w:eastAsia="zh-CN"/>
              </w:rPr>
              <w:t>不适用条款</w:t>
            </w:r>
            <w:r>
              <w:rPr>
                <w:rFonts w:hint="eastAsia" w:ascii="宋体" w:hAnsi="宋体" w:eastAsia="宋体" w:cs="宋体"/>
                <w:sz w:val="21"/>
                <w:szCs w:val="21"/>
              </w:rPr>
              <w:t>：</w:t>
            </w:r>
            <w:r>
              <w:rPr>
                <w:rFonts w:hint="eastAsia" w:ascii="宋体" w:hAnsi="宋体" w:eastAsia="宋体" w:cs="宋体"/>
                <w:sz w:val="21"/>
                <w:szCs w:val="21"/>
                <w:lang w:val="en-US" w:eastAsia="zh-CN"/>
              </w:rPr>
              <w:t>8.3，</w:t>
            </w:r>
            <w:r>
              <w:rPr>
                <w:rFonts w:hint="eastAsia" w:ascii="宋体" w:hAnsi="宋体" w:eastAsia="宋体" w:cs="宋体"/>
                <w:sz w:val="21"/>
                <w:szCs w:val="21"/>
              </w:rPr>
              <w:t>公司产品和服务特点，</w:t>
            </w:r>
            <w:r>
              <w:rPr>
                <w:rFonts w:hint="eastAsia" w:ascii="宋体" w:hAnsi="宋体" w:eastAsia="宋体" w:cs="宋体"/>
                <w:sz w:val="21"/>
                <w:szCs w:val="21"/>
                <w:lang w:eastAsia="zh-CN"/>
              </w:rPr>
              <w:t>产品依据国标、行业标准、客户要求进行生产</w:t>
            </w:r>
            <w:r>
              <w:rPr>
                <w:rFonts w:hint="eastAsia" w:ascii="宋体" w:hAnsi="宋体" w:eastAsia="宋体" w:cs="宋体"/>
                <w:sz w:val="21"/>
                <w:szCs w:val="21"/>
                <w:lang w:val="en-US" w:eastAsia="zh-CN"/>
              </w:rPr>
              <w:t>和销售</w:t>
            </w:r>
            <w:r>
              <w:rPr>
                <w:rFonts w:hint="eastAsia" w:ascii="宋体" w:hAnsi="宋体" w:eastAsia="宋体" w:cs="宋体"/>
                <w:sz w:val="21"/>
                <w:szCs w:val="21"/>
                <w:lang w:eastAsia="zh-CN"/>
              </w:rPr>
              <w:t>，工艺成熟稳定，</w:t>
            </w:r>
            <w:r>
              <w:rPr>
                <w:rFonts w:hint="eastAsia" w:ascii="宋体" w:hAnsi="宋体" w:eastAsia="宋体" w:cs="宋体"/>
                <w:sz w:val="21"/>
                <w:szCs w:val="21"/>
                <w:lang w:val="en-US" w:eastAsia="zh-CN"/>
              </w:rPr>
              <w:t>销售模式固定，</w:t>
            </w:r>
            <w:r>
              <w:rPr>
                <w:rFonts w:hint="eastAsia" w:ascii="宋体" w:hAnsi="宋体" w:eastAsia="宋体" w:cs="宋体"/>
                <w:sz w:val="21"/>
                <w:szCs w:val="21"/>
                <w:lang w:eastAsia="zh-CN"/>
              </w:rPr>
              <w:t>无设计开发要求，故不适用</w:t>
            </w:r>
            <w:r>
              <w:rPr>
                <w:rFonts w:hint="eastAsia" w:ascii="宋体" w:hAnsi="宋体" w:eastAsia="宋体" w:cs="宋体"/>
                <w:sz w:val="21"/>
                <w:szCs w:val="21"/>
                <w:lang w:val="en-US" w:eastAsia="zh-CN"/>
              </w:rPr>
              <w:t>GB/T19001-2016标准的8.3条款，理由充分</w:t>
            </w:r>
          </w:p>
          <w:p>
            <w:pPr>
              <w:rPr>
                <w:rFonts w:hint="eastAsia" w:eastAsia="宋体"/>
                <w:lang w:eastAsia="zh-CN"/>
              </w:rPr>
            </w:pPr>
            <w:r>
              <w:t>■</w:t>
            </w:r>
            <w:r>
              <w:rPr>
                <w:rFonts w:hint="eastAsia"/>
                <w:u w:val="none"/>
              </w:rPr>
              <w:t>外包过程：</w:t>
            </w:r>
            <w:r>
              <w:rPr>
                <w:rFonts w:hint="eastAsia"/>
                <w:u w:val="none"/>
                <w:lang w:val="en-US" w:eastAsia="zh-CN"/>
              </w:rPr>
              <w:t>喷漆</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25</w:t>
            </w:r>
            <w:r>
              <w:rPr>
                <w:rFonts w:hint="eastAsia"/>
              </w:rPr>
              <w:t>人，无倒班情况</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1009" w:type="dxa"/>
            <w:vAlign w:val="top"/>
          </w:tcPr>
          <w:p>
            <w:pPr>
              <w:rPr>
                <w:rFonts w:hint="eastAsia"/>
              </w:rPr>
            </w:pPr>
            <w:r>
              <w:rPr>
                <w:rFonts w:hint="eastAsia"/>
                <w:lang w:val="en-US" w:eastAsia="zh-CN"/>
              </w:rPr>
              <w:t>QE5.2     6.2</w:t>
            </w:r>
          </w:p>
          <w:p>
            <w:pPr>
              <w:rPr>
                <w:rFonts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cs="宋体"/>
                <w:szCs w:val="22"/>
              </w:rPr>
            </w:pPr>
            <w:r>
              <w:rPr>
                <w:rFonts w:hint="eastAsia" w:ascii="Times New Roman" w:hAnsi="Times New Roman" w:cs="宋体"/>
                <w:szCs w:val="22"/>
              </w:rPr>
              <w:t>管理手册明确了公司的管理方针：顾客满意，质量第一。遵守法规，预防污染。遵守法规，安全第一</w:t>
            </w:r>
            <w:r>
              <w:rPr>
                <w:rFonts w:hint="eastAsia" w:ascii="Times New Roman" w:hAnsi="Times New Roman" w:cs="宋体"/>
                <w:szCs w:val="22"/>
                <w:lang w:eastAsia="zh-CN"/>
              </w:rPr>
              <w:t>。</w:t>
            </w:r>
            <w:r>
              <w:rPr>
                <w:rFonts w:hint="eastAsia" w:ascii="Times New Roman" w:hAnsi="Times New Roman" w:cs="宋体"/>
                <w:szCs w:val="22"/>
              </w:rPr>
              <w:t>总经理证实，与企业的宗旨一直，随管理手册的发布宣传贯彻。</w:t>
            </w:r>
          </w:p>
          <w:p>
            <w:pPr>
              <w:rPr>
                <w:rFonts w:ascii="Times New Roman" w:hAnsi="Times New Roman" w:eastAsia="宋体" w:cs="Times New Roman"/>
                <w:kern w:val="2"/>
                <w:sz w:val="21"/>
                <w:lang w:val="en-US" w:eastAsia="zh-CN" w:bidi="ar-SA"/>
              </w:rPr>
            </w:pPr>
            <w:r>
              <w:rPr>
                <w:rFonts w:hint="eastAsia" w:ascii="Times New Roman" w:hAnsi="Times New Roman" w:cs="宋体"/>
                <w:szCs w:val="22"/>
              </w:rPr>
              <w:t>公司目标：1、顾客满意度≥85分；2、成品一次交验合格率≥</w:t>
            </w:r>
            <w:r>
              <w:rPr>
                <w:rFonts w:hint="eastAsia" w:ascii="Times New Roman" w:hAnsi="Times New Roman" w:cs="宋体"/>
                <w:szCs w:val="22"/>
                <w:lang w:val="en-US" w:eastAsia="zh-CN"/>
              </w:rPr>
              <w:t>98</w:t>
            </w:r>
            <w:r>
              <w:rPr>
                <w:rFonts w:hint="eastAsia" w:ascii="Times New Roman" w:hAnsi="Times New Roman" w:cs="宋体"/>
                <w:szCs w:val="22"/>
              </w:rPr>
              <w:t>%</w:t>
            </w:r>
            <w:r>
              <w:rPr>
                <w:rFonts w:hint="eastAsia" w:ascii="Times New Roman" w:hAnsi="Times New Roman" w:cs="宋体"/>
                <w:szCs w:val="22"/>
                <w:lang w:val="en-US" w:eastAsia="zh-CN"/>
              </w:rPr>
              <w:t>3</w:t>
            </w:r>
            <w:r>
              <w:rPr>
                <w:rFonts w:hint="eastAsia" w:ascii="Times New Roman" w:hAnsi="Times New Roman" w:cs="宋体"/>
                <w:szCs w:val="22"/>
              </w:rPr>
              <w:t>、</w:t>
            </w:r>
            <w:r>
              <w:rPr>
                <w:rFonts w:hint="eastAsia" w:ascii="Times New Roman" w:hAnsi="Times New Roman" w:cs="宋体"/>
                <w:szCs w:val="22"/>
                <w:lang w:eastAsia="zh-CN"/>
              </w:rPr>
              <w:t>及时交付</w:t>
            </w:r>
            <w:r>
              <w:rPr>
                <w:rFonts w:hint="eastAsia" w:ascii="Times New Roman" w:hAnsi="Times New Roman" w:cs="宋体"/>
                <w:szCs w:val="22"/>
              </w:rPr>
              <w:t>率</w:t>
            </w:r>
            <w:r>
              <w:rPr>
                <w:rFonts w:hint="eastAsia" w:ascii="Times New Roman" w:hAnsi="Times New Roman" w:cs="宋体"/>
                <w:szCs w:val="22"/>
                <w:lang w:val="en-US" w:eastAsia="zh-CN"/>
              </w:rPr>
              <w:t>100</w:t>
            </w:r>
            <w:r>
              <w:rPr>
                <w:rFonts w:hint="eastAsia" w:ascii="Times New Roman" w:hAnsi="Times New Roman" w:cs="宋体"/>
                <w:szCs w:val="22"/>
              </w:rPr>
              <w:t>%</w:t>
            </w:r>
            <w:r>
              <w:rPr>
                <w:rFonts w:hint="eastAsia" w:ascii="Times New Roman" w:hAnsi="Times New Roman" w:cs="宋体"/>
                <w:szCs w:val="22"/>
                <w:lang w:eastAsia="zh-CN"/>
              </w:rPr>
              <w:t>；</w:t>
            </w:r>
            <w:r>
              <w:rPr>
                <w:rFonts w:hint="eastAsia" w:ascii="Times New Roman" w:hAnsi="Times New Roman" w:cs="宋体"/>
                <w:szCs w:val="22"/>
                <w:lang w:val="en-US" w:eastAsia="zh-CN"/>
              </w:rPr>
              <w:t>4</w:t>
            </w:r>
            <w:r>
              <w:rPr>
                <w:rFonts w:hint="eastAsia" w:ascii="Times New Roman" w:hAnsi="Times New Roman" w:cs="宋体"/>
                <w:szCs w:val="22"/>
              </w:rPr>
              <w:t>、火灾事故为0；</w:t>
            </w:r>
            <w:r>
              <w:rPr>
                <w:rFonts w:hint="eastAsia" w:ascii="Times New Roman" w:hAnsi="Times New Roman" w:cs="宋体"/>
                <w:szCs w:val="22"/>
                <w:lang w:val="en-US" w:eastAsia="zh-CN"/>
              </w:rPr>
              <w:t>5</w:t>
            </w:r>
            <w:r>
              <w:rPr>
                <w:rFonts w:hint="eastAsia" w:ascii="Times New Roman" w:hAnsi="Times New Roman" w:cs="宋体"/>
                <w:szCs w:val="22"/>
              </w:rPr>
              <w:t>、固废分类回收率100%；</w:t>
            </w:r>
            <w:r>
              <w:rPr>
                <w:rFonts w:hint="eastAsia" w:ascii="Times New Roman" w:hAnsi="Times New Roman" w:cs="宋体"/>
                <w:szCs w:val="22"/>
                <w:lang w:val="en-US" w:eastAsia="zh-CN"/>
              </w:rPr>
              <w:t>6</w:t>
            </w:r>
            <w:r>
              <w:rPr>
                <w:rFonts w:hint="eastAsia" w:ascii="Times New Roman" w:hAnsi="Times New Roman" w:cs="宋体"/>
                <w:szCs w:val="22"/>
              </w:rPr>
              <w:t>、噪声、废气达标排放</w:t>
            </w:r>
            <w:r>
              <w:rPr>
                <w:rFonts w:hint="eastAsia" w:ascii="Times New Roman" w:hAnsi="Times New Roman" w:cs="宋体"/>
                <w:szCs w:val="22"/>
                <w:lang w:eastAsia="zh-CN"/>
              </w:rPr>
              <w:t>；</w:t>
            </w:r>
            <w:r>
              <w:rPr>
                <w:rFonts w:hint="eastAsia" w:ascii="Times New Roman" w:hAnsi="Times New Roman" w:cs="宋体"/>
                <w:szCs w:val="22"/>
                <w:lang w:val="en-US" w:eastAsia="zh-CN"/>
              </w:rPr>
              <w:t>7</w:t>
            </w:r>
            <w:r>
              <w:rPr>
                <w:rFonts w:hint="eastAsia" w:ascii="Times New Roman" w:hAnsi="Times New Roman" w:cs="宋体"/>
                <w:szCs w:val="22"/>
              </w:rPr>
              <w:t>、人身伤害事故为0</w:t>
            </w:r>
            <w:r>
              <w:rPr>
                <w:rFonts w:hint="eastAsia" w:ascii="Times New Roman" w:hAnsi="Times New Roman" w:cs="宋体"/>
                <w:szCs w:val="22"/>
                <w:lang w:eastAsia="zh-CN"/>
              </w:rPr>
              <w:t>。</w:t>
            </w:r>
            <w:r>
              <w:rPr>
                <w:rFonts w:hint="eastAsia" w:ascii="Times New Roman" w:hAnsi="Times New Roman" w:cs="宋体"/>
                <w:szCs w:val="22"/>
              </w:rPr>
              <w:t>基本符合标准要求。在方针框架下展开，并分解到各职能部门。</w:t>
            </w:r>
          </w:p>
        </w:tc>
        <w:tc>
          <w:tcPr>
            <w:tcW w:w="928" w:type="dxa"/>
          </w:tcPr>
          <w:p/>
        </w:tc>
      </w:tr>
    </w:tbl>
    <w:p>
      <w:r>
        <w:ptab w:relativeTo="margin" w:alignment="center" w:leader="none"/>
      </w: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w:t>
            </w:r>
            <w:r>
              <w:rPr>
                <w:rFonts w:hint="eastAsia" w:cs="宋体"/>
                <w:sz w:val="24"/>
                <w:szCs w:val="24"/>
                <w:lang w:val="en-US" w:eastAsia="zh-CN"/>
              </w:rPr>
              <w:t>苗丽</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朱晓丽、张星            </w:t>
            </w:r>
            <w:r>
              <w:rPr>
                <w:rFonts w:hint="eastAsia"/>
                <w:sz w:val="24"/>
                <w:szCs w:val="24"/>
              </w:rPr>
              <w:t>审核时间：</w:t>
            </w:r>
            <w:r>
              <w:rPr>
                <w:rFonts w:hint="eastAsia"/>
                <w:sz w:val="24"/>
                <w:szCs w:val="24"/>
                <w:lang w:val="en-US" w:eastAsia="zh-CN"/>
              </w:rPr>
              <w:t>2020.4.21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Q7.5；E</w:t>
            </w:r>
            <w:r>
              <w:rPr>
                <w:rFonts w:hint="eastAsia"/>
                <w:sz w:val="21"/>
                <w:szCs w:val="21"/>
                <w:lang w:val="en-US" w:eastAsia="zh-CN"/>
              </w:rPr>
              <w:t xml:space="preserve"> 6.1.2/6.2.2/7.5</w:t>
            </w:r>
            <w:r>
              <w:rPr>
                <w:rFonts w:hint="eastAsia"/>
                <w:sz w:val="21"/>
                <w:szCs w:val="21"/>
              </w:rPr>
              <w:t>/8.2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highlight w:val="none"/>
              </w:rPr>
            </w:pPr>
            <w:r>
              <w:rPr>
                <w:rFonts w:hint="eastAsia"/>
                <w:highlight w:val="none"/>
              </w:rPr>
              <w:t>管理体系文件</w:t>
            </w:r>
          </w:p>
          <w:p>
            <w:pPr>
              <w:rPr>
                <w:rFonts w:hint="default" w:ascii="Times New Roman" w:hAnsi="Times New Roman" w:cs="Times New Roman"/>
                <w:kern w:val="2"/>
                <w:sz w:val="21"/>
                <w:lang w:val="en-US" w:eastAsia="zh-CN" w:bidi="ar-SA"/>
              </w:rPr>
            </w:pPr>
          </w:p>
        </w:tc>
        <w:tc>
          <w:tcPr>
            <w:tcW w:w="991" w:type="dxa"/>
            <w:vAlign w:val="top"/>
          </w:tcPr>
          <w:p>
            <w:pPr>
              <w:rPr>
                <w:rFonts w:hint="default" w:eastAsia="宋体"/>
                <w:sz w:val="21"/>
                <w:szCs w:val="21"/>
                <w:lang w:val="en-US" w:eastAsia="zh-CN"/>
              </w:rPr>
            </w:pPr>
            <w:r>
              <w:rPr>
                <w:rFonts w:hint="eastAsia"/>
                <w:sz w:val="21"/>
                <w:szCs w:val="21"/>
                <w:lang w:val="en-US" w:eastAsia="zh-CN"/>
              </w:rPr>
              <w:t>QE7.5</w:t>
            </w:r>
          </w:p>
        </w:tc>
        <w:tc>
          <w:tcPr>
            <w:tcW w:w="11164" w:type="dxa"/>
            <w:vAlign w:val="top"/>
          </w:tcPr>
          <w:p>
            <w:pPr>
              <w:rPr>
                <w:rFonts w:hint="eastAsia"/>
                <w:highlight w:val="none"/>
              </w:rPr>
            </w:pPr>
            <w:r>
              <w:rPr>
                <w:highlight w:val="none"/>
              </w:rPr>
              <w:t>■</w:t>
            </w:r>
            <w:r>
              <w:rPr>
                <w:rFonts w:hint="eastAsia"/>
                <w:highlight w:val="none"/>
              </w:rPr>
              <w:t>受审核方建立的管理体系文件包括</w:t>
            </w:r>
            <w:r>
              <w:rPr>
                <w:rFonts w:hint="eastAsia"/>
                <w:highlight w:val="none"/>
                <w:lang w:eastAsia="zh-CN"/>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1.管理手册</w:t>
            </w:r>
            <w:r>
              <w:rPr>
                <w:rFonts w:hint="eastAsia" w:cs="Times New Roman"/>
                <w:color w:val="auto"/>
                <w:szCs w:val="22"/>
                <w:highlight w:val="none"/>
                <w:lang w:val="en-US" w:eastAsia="zh-CN"/>
              </w:rPr>
              <w:t>SB/</w:t>
            </w:r>
            <w:r>
              <w:rPr>
                <w:rFonts w:hint="eastAsia" w:ascii="Times New Roman" w:hAnsi="Times New Roman" w:cs="Times New Roman"/>
                <w:color w:val="auto"/>
                <w:szCs w:val="22"/>
                <w:highlight w:val="none"/>
              </w:rPr>
              <w:t>QES</w:t>
            </w:r>
            <w:r>
              <w:rPr>
                <w:rFonts w:hint="eastAsia" w:cs="Times New Roman"/>
                <w:color w:val="auto"/>
                <w:szCs w:val="22"/>
                <w:highlight w:val="none"/>
                <w:lang w:val="en-US" w:eastAsia="zh-CN"/>
              </w:rPr>
              <w:t>/SC</w:t>
            </w:r>
            <w:r>
              <w:rPr>
                <w:rFonts w:hint="eastAsia" w:ascii="Times New Roman" w:hAnsi="Times New Roman" w:cs="Times New Roman"/>
                <w:color w:val="auto"/>
                <w:szCs w:val="22"/>
                <w:highlight w:val="none"/>
              </w:rPr>
              <w:t>-2019-AO版，201</w:t>
            </w:r>
            <w:r>
              <w:rPr>
                <w:rFonts w:hint="eastAsia" w:ascii="Times New Roman" w:hAnsi="Times New Roman" w:cs="Times New Roman"/>
                <w:color w:val="auto"/>
                <w:szCs w:val="22"/>
                <w:highlight w:val="none"/>
                <w:lang w:val="en-US" w:eastAsia="zh-CN"/>
              </w:rPr>
              <w:t>9</w:t>
            </w:r>
            <w:r>
              <w:rPr>
                <w:rFonts w:hint="eastAsia" w:ascii="Times New Roman" w:hAnsi="Times New Roman" w:cs="Times New Roman"/>
                <w:color w:val="auto"/>
                <w:szCs w:val="22"/>
                <w:highlight w:val="none"/>
              </w:rPr>
              <w:t>年</w:t>
            </w:r>
            <w:r>
              <w:rPr>
                <w:rFonts w:hint="eastAsia" w:cs="Times New Roman"/>
                <w:color w:val="auto"/>
                <w:szCs w:val="22"/>
                <w:highlight w:val="none"/>
                <w:lang w:val="en-US" w:eastAsia="zh-CN"/>
              </w:rPr>
              <w:t>12</w:t>
            </w:r>
            <w:r>
              <w:rPr>
                <w:rFonts w:hint="eastAsia" w:ascii="Times New Roman" w:hAnsi="Times New Roman" w:cs="Times New Roman"/>
                <w:color w:val="auto"/>
                <w:szCs w:val="22"/>
                <w:highlight w:val="none"/>
              </w:rPr>
              <w:t>月</w:t>
            </w:r>
            <w:r>
              <w:rPr>
                <w:rFonts w:hint="eastAsia" w:cs="Times New Roman"/>
                <w:color w:val="auto"/>
                <w:szCs w:val="22"/>
                <w:highlight w:val="none"/>
                <w:lang w:val="en-US" w:eastAsia="zh-CN"/>
              </w:rPr>
              <w:t>15</w:t>
            </w:r>
            <w:r>
              <w:rPr>
                <w:rFonts w:hint="eastAsia" w:ascii="Times New Roman" w:hAnsi="Times New Roman" w:cs="Times New Roman"/>
                <w:color w:val="auto"/>
                <w:szCs w:val="22"/>
                <w:highlight w:val="none"/>
              </w:rPr>
              <w:t>日发表实施（含管理方针、目标）</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2.程序文件</w:t>
            </w:r>
            <w:r>
              <w:rPr>
                <w:rFonts w:hint="eastAsia" w:cs="Times New Roman"/>
                <w:color w:val="auto"/>
                <w:szCs w:val="22"/>
                <w:highlight w:val="none"/>
                <w:lang w:val="en-US" w:eastAsia="zh-CN"/>
              </w:rPr>
              <w:t>SB</w:t>
            </w:r>
            <w:r>
              <w:rPr>
                <w:rFonts w:hint="eastAsia" w:ascii="Times New Roman" w:hAnsi="Times New Roman" w:cs="Times New Roman"/>
                <w:color w:val="auto"/>
                <w:szCs w:val="22"/>
                <w:highlight w:val="none"/>
              </w:rPr>
              <w:t>/</w:t>
            </w:r>
            <w:r>
              <w:rPr>
                <w:rFonts w:hint="eastAsia" w:cs="Times New Roman"/>
                <w:color w:val="auto"/>
                <w:szCs w:val="22"/>
                <w:highlight w:val="none"/>
                <w:lang w:val="en-US" w:eastAsia="zh-CN"/>
              </w:rPr>
              <w:t>QES/</w:t>
            </w:r>
            <w:r>
              <w:rPr>
                <w:rFonts w:hint="eastAsia" w:ascii="Times New Roman" w:hAnsi="Times New Roman" w:cs="Times New Roman"/>
                <w:color w:val="auto"/>
                <w:szCs w:val="22"/>
                <w:highlight w:val="none"/>
              </w:rPr>
              <w:t>CX-2019，含</w:t>
            </w:r>
            <w:r>
              <w:rPr>
                <w:rFonts w:hint="eastAsia" w:cs="Times New Roman"/>
                <w:color w:val="auto"/>
                <w:szCs w:val="22"/>
                <w:highlight w:val="none"/>
                <w:lang w:val="en-US" w:eastAsia="zh-CN"/>
              </w:rPr>
              <w:t>31</w:t>
            </w:r>
            <w:r>
              <w:rPr>
                <w:rFonts w:hint="eastAsia" w:ascii="Times New Roman" w:hAnsi="Times New Roman" w:cs="Times New Roman"/>
                <w:color w:val="auto"/>
                <w:szCs w:val="22"/>
                <w:highlight w:val="none"/>
              </w:rPr>
              <w:t>个文件，包括标准要求的程序</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3.作业文件</w:t>
            </w:r>
            <w:r>
              <w:rPr>
                <w:rFonts w:hint="eastAsia" w:cs="Times New Roman"/>
                <w:color w:val="auto"/>
                <w:szCs w:val="22"/>
                <w:highlight w:val="none"/>
                <w:lang w:val="en-US" w:eastAsia="zh-CN"/>
              </w:rPr>
              <w:t>SB</w:t>
            </w:r>
            <w:r>
              <w:rPr>
                <w:rFonts w:hint="eastAsia"/>
                <w:sz w:val="21"/>
                <w:szCs w:val="21"/>
                <w:highlight w:val="none"/>
              </w:rPr>
              <w:t>-ZY-</w:t>
            </w:r>
            <w:r>
              <w:rPr>
                <w:rFonts w:hint="eastAsia"/>
                <w:sz w:val="21"/>
                <w:szCs w:val="21"/>
                <w:highlight w:val="none"/>
                <w:lang w:eastAsia="zh-CN"/>
              </w:rPr>
              <w:t>201</w:t>
            </w:r>
            <w:r>
              <w:rPr>
                <w:rFonts w:hint="eastAsia"/>
                <w:sz w:val="21"/>
                <w:szCs w:val="21"/>
                <w:highlight w:val="none"/>
                <w:lang w:val="en-US" w:eastAsia="zh-CN"/>
              </w:rPr>
              <w:t>9</w:t>
            </w:r>
            <w:r>
              <w:rPr>
                <w:rFonts w:hint="eastAsia"/>
                <w:sz w:val="21"/>
                <w:szCs w:val="21"/>
                <w:highlight w:val="none"/>
              </w:rPr>
              <w:t>，包括：岗位任职条件</w:t>
            </w:r>
            <w:r>
              <w:rPr>
                <w:rFonts w:hint="eastAsia"/>
                <w:sz w:val="21"/>
                <w:szCs w:val="21"/>
                <w:highlight w:val="none"/>
                <w:lang w:eastAsia="zh-CN"/>
              </w:rPr>
              <w:t>、</w:t>
            </w:r>
            <w:r>
              <w:rPr>
                <w:rFonts w:hint="eastAsia"/>
                <w:sz w:val="21"/>
                <w:szCs w:val="21"/>
                <w:highlight w:val="none"/>
              </w:rPr>
              <w:t>安全生产管理制度</w:t>
            </w:r>
            <w:r>
              <w:rPr>
                <w:rFonts w:hint="eastAsia"/>
                <w:sz w:val="21"/>
                <w:szCs w:val="21"/>
                <w:highlight w:val="none"/>
                <w:lang w:eastAsia="zh-CN"/>
              </w:rPr>
              <w:t>、</w:t>
            </w:r>
            <w:r>
              <w:rPr>
                <w:rFonts w:hint="eastAsia"/>
                <w:sz w:val="21"/>
                <w:szCs w:val="21"/>
                <w:highlight w:val="none"/>
              </w:rPr>
              <w:t>员工职业健康及劳动保护管理规定</w:t>
            </w:r>
            <w:r>
              <w:rPr>
                <w:rFonts w:hint="eastAsia"/>
                <w:sz w:val="21"/>
                <w:szCs w:val="21"/>
                <w:highlight w:val="none"/>
                <w:lang w:eastAsia="zh-CN"/>
              </w:rPr>
              <w:t>、</w:t>
            </w:r>
            <w:r>
              <w:rPr>
                <w:rFonts w:hint="eastAsia"/>
                <w:sz w:val="21"/>
                <w:szCs w:val="21"/>
                <w:highlight w:val="none"/>
              </w:rPr>
              <w:t>安全操作规程等</w:t>
            </w:r>
            <w:r>
              <w:rPr>
                <w:rFonts w:hint="eastAsia" w:ascii="Times New Roman" w:hAnsi="Times New Roman" w:cs="Times New Roman"/>
                <w:color w:val="auto"/>
                <w:szCs w:val="22"/>
                <w:highlight w:val="none"/>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4.体系运行所需要的记录</w:t>
            </w:r>
          </w:p>
          <w:p>
            <w:pPr>
              <w:rPr>
                <w:rFonts w:hint="eastAsia"/>
                <w:highlight w:val="none"/>
              </w:rPr>
            </w:pPr>
            <w:r>
              <w:rPr>
                <w:highlight w:val="none"/>
              </w:rPr>
              <w:t>■</w:t>
            </w:r>
            <w:r>
              <w:rPr>
                <w:rFonts w:hint="eastAsia"/>
                <w:highlight w:val="none"/>
              </w:rPr>
              <w:t>编制了文件控制程序，用于对管理体系文件管理</w:t>
            </w:r>
          </w:p>
          <w:p>
            <w:pPr>
              <w:rPr>
                <w:rFonts w:ascii="Times New Roman" w:hAnsi="Times New Roman" w:eastAsia="宋体" w:cs="Times New Roman"/>
                <w:kern w:val="2"/>
                <w:sz w:val="21"/>
                <w:lang w:val="en-US" w:eastAsia="zh-CN" w:bidi="ar-SA"/>
              </w:rPr>
            </w:pPr>
            <w:r>
              <w:rPr>
                <w:rFonts w:hint="eastAsia"/>
                <w:color w:val="auto"/>
                <w:highlight w:val="none"/>
              </w:rPr>
              <w:t>对外来文件进行了识</w:t>
            </w:r>
            <w:r>
              <w:rPr>
                <w:rFonts w:hint="default" w:ascii="Times New Roman" w:hAnsi="Times New Roman" w:cs="Times New Roman"/>
                <w:color w:val="auto"/>
                <w:highlight w:val="none"/>
              </w:rPr>
              <w:t>别收集，现场提供有《</w:t>
            </w:r>
            <w:r>
              <w:rPr>
                <w:rFonts w:hint="default" w:ascii="Times New Roman" w:hAnsi="Times New Roman" w:cs="Times New Roman"/>
                <w:color w:val="auto"/>
                <w:highlight w:val="none"/>
                <w:lang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highlight w:val="none"/>
              </w:rPr>
              <w:t>质量法、合同法、环境保护法、劳动法、消防法、</w:t>
            </w:r>
            <w:r>
              <w:rPr>
                <w:rFonts w:hint="default" w:ascii="Times New Roman" w:hAnsi="Times New Roman" w:cs="Times New Roman"/>
                <w:sz w:val="21"/>
                <w:szCs w:val="21"/>
                <w:highlight w:val="none"/>
                <w:lang w:eastAsia="zh-CN"/>
              </w:rPr>
              <w:t>安全生产法</w:t>
            </w:r>
            <w:r>
              <w:rPr>
                <w:rFonts w:hint="default" w:ascii="Times New Roman" w:hAnsi="Times New Roman" w:cs="Times New Roman"/>
                <w:sz w:val="21"/>
                <w:szCs w:val="21"/>
                <w:highlight w:val="none"/>
                <w:lang w:val="en-US" w:eastAsia="zh-CN"/>
              </w:rPr>
              <w:t>、</w:t>
            </w:r>
            <w:r>
              <w:rPr>
                <w:rStyle w:val="7"/>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r>
              <w:rPr>
                <w:rFonts w:hint="eastAsia" w:cs="Times New Roman"/>
                <w:sz w:val="21"/>
                <w:szCs w:val="21"/>
                <w:lang w:eastAsia="zh-CN"/>
              </w:rPr>
              <w:t>GB/T 3324-2017《木家具通用技术条件》、</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等法规</w:t>
            </w:r>
            <w:r>
              <w:rPr>
                <w:rFonts w:hint="default" w:ascii="Times New Roman" w:hAnsi="Times New Roman" w:cs="Times New Roman"/>
                <w:highlight w:val="none"/>
                <w:lang w:eastAsia="zh-CN"/>
              </w:rPr>
              <w:t>要求。</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策划、编制了《环境因素识别与评价控制程序</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能源的消耗、焊烟排放、</w:t>
            </w:r>
            <w:r>
              <w:rPr>
                <w:rFonts w:hint="default" w:ascii="Times New Roman" w:hAnsi="Times New Roman" w:cs="Times New Roman"/>
                <w:sz w:val="21"/>
                <w:szCs w:val="21"/>
                <w:highlight w:val="none"/>
              </w:rPr>
              <w:t>废气排放、噪声排放等。</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可以提供《重要环境因素清单》，其中重要环境因素：</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、固体废弃物排放、噪声排放、火灾的发生，评价准确</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w:t>
            </w:r>
            <w:r>
              <w:rPr>
                <w:rFonts w:hint="eastAsia"/>
                <w:highlight w:val="none"/>
              </w:rPr>
              <w:t>目标指标的合理性，管理方案的可行性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6.2.2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环境目标、指标、管理方案：抽目标指标：废弃物100%分类堆放处置</w:t>
            </w:r>
          </w:p>
          <w:p>
            <w:pPr>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管理方案：1.建立并完善环境管理制度，将与责任分解落实，并对目标的实现情况进行监督检查；2.对工作人员进行教育培训，增强员工的环保意识和技术水平；3.购备垃圾箱，及时回收，分类堆放；</w:t>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与销售商或厂家联系，力争使废物能再生或重新利用</w:t>
            </w:r>
            <w:r>
              <w:rPr>
                <w:rFonts w:hint="eastAsia" w:cs="Times New Roman"/>
                <w:sz w:val="21"/>
                <w:szCs w:val="21"/>
                <w:highlight w:val="none"/>
                <w:lang w:eastAsia="zh-CN"/>
              </w:rPr>
              <w:t>。</w:t>
            </w:r>
          </w:p>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责任部</w:t>
            </w:r>
            <w:r>
              <w:rPr>
                <w:rFonts w:hint="eastAsia" w:cs="Times New Roman"/>
                <w:sz w:val="21"/>
                <w:szCs w:val="21"/>
                <w:highlight w:val="none"/>
                <w:lang w:eastAsia="zh-CN"/>
              </w:rPr>
              <w:t>：各部门</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2000</w:t>
            </w:r>
            <w:r>
              <w:rPr>
                <w:rFonts w:hint="default" w:ascii="Times New Roman" w:hAnsi="Times New Roman" w:cs="Times New Roman"/>
                <w:sz w:val="21"/>
                <w:szCs w:val="21"/>
                <w:highlight w:val="none"/>
              </w:rPr>
              <w:t>元，起止时间：201</w:t>
            </w:r>
            <w:r>
              <w:rPr>
                <w:rFonts w:hint="eastAsia" w:ascii="Times New Roman" w:hAnsi="Times New Roman" w:cs="Times New Roman"/>
                <w:sz w:val="21"/>
                <w:szCs w:val="21"/>
                <w:highlight w:val="none"/>
                <w:lang w:val="en-US" w:eastAsia="zh-CN"/>
              </w:rPr>
              <w:t>9.</w:t>
            </w:r>
            <w:r>
              <w:rPr>
                <w:rFonts w:hint="eastAsia" w:cs="Times New Roman"/>
                <w:sz w:val="21"/>
                <w:szCs w:val="21"/>
                <w:highlight w:val="none"/>
                <w:lang w:val="en-US" w:eastAsia="zh-CN"/>
              </w:rPr>
              <w:t>12</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2020.3</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共根据识别的重要环境因素策划管理方案4个</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在方针框架下展开，并分解到各职能部门。</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办公室负责编制方案，并监督、验证实施进度。</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各部门负责目标、指标与方案的具体实施。</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8.2</w:t>
            </w:r>
          </w:p>
        </w:tc>
        <w:tc>
          <w:tcPr>
            <w:tcW w:w="11164" w:type="dxa"/>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提供应急预案：针对包括火灾事故应急预案</w:t>
            </w:r>
          </w:p>
        </w:tc>
        <w:tc>
          <w:tcPr>
            <w:tcW w:w="928" w:type="dxa"/>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生产部/质检部      </w:t>
            </w:r>
            <w:r>
              <w:rPr>
                <w:rFonts w:hint="eastAsia"/>
                <w:sz w:val="24"/>
                <w:szCs w:val="24"/>
              </w:rPr>
              <w:t>主管领导</w:t>
            </w:r>
            <w:r>
              <w:rPr>
                <w:rFonts w:hint="eastAsia"/>
                <w:sz w:val="24"/>
                <w:szCs w:val="24"/>
                <w:lang w:eastAsia="zh-CN"/>
              </w:rPr>
              <w:t>：</w:t>
            </w:r>
            <w:r>
              <w:rPr>
                <w:rFonts w:hint="eastAsia" w:cs="宋体"/>
                <w:sz w:val="24"/>
                <w:szCs w:val="24"/>
                <w:lang w:val="en-US" w:eastAsia="zh-CN"/>
              </w:rPr>
              <w:t>耿闪/王建</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朱晓丽、张星            </w:t>
            </w:r>
            <w:r>
              <w:rPr>
                <w:rFonts w:hint="eastAsia"/>
                <w:sz w:val="24"/>
                <w:szCs w:val="24"/>
              </w:rPr>
              <w:t>审核时间：</w:t>
            </w:r>
            <w:r>
              <w:rPr>
                <w:rFonts w:hint="eastAsia"/>
                <w:sz w:val="24"/>
                <w:szCs w:val="24"/>
                <w:lang w:val="en-US" w:eastAsia="zh-CN"/>
              </w:rPr>
              <w:t>2020.4.21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Q7.1.3/7.1.4/7.1.5/；E6.1.2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r>
              <w:rPr>
                <w:rFonts w:hint="eastAsia"/>
              </w:rPr>
              <w:t>基础设施</w:t>
            </w:r>
          </w:p>
          <w:p>
            <w:pPr>
              <w:rPr>
                <w:rFonts w:hint="eastAsia"/>
              </w:rPr>
            </w:pPr>
            <w:r>
              <w:rPr>
                <w:rFonts w:hint="eastAsia"/>
              </w:rPr>
              <w:t>工作环境</w:t>
            </w:r>
          </w:p>
          <w:p>
            <w:pPr>
              <w:rPr>
                <w:rFonts w:hint="default" w:ascii="Times New Roman" w:hAnsi="Times New Roman" w:cs="Times New Roman"/>
                <w:kern w:val="2"/>
                <w:sz w:val="21"/>
                <w:lang w:val="en-US" w:eastAsia="zh-CN" w:bidi="ar-SA"/>
              </w:rPr>
            </w:pPr>
            <w:r>
              <w:rPr>
                <w:rFonts w:hint="eastAsia"/>
                <w:lang w:eastAsia="zh-CN"/>
              </w:rPr>
              <w:t>监视设备</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7.1.3</w:t>
            </w:r>
          </w:p>
          <w:p>
            <w:pPr>
              <w:rPr>
                <w:rFonts w:hint="eastAsia"/>
                <w:sz w:val="21"/>
                <w:szCs w:val="21"/>
              </w:rPr>
            </w:pPr>
            <w:r>
              <w:rPr>
                <w:rFonts w:hint="eastAsia"/>
                <w:sz w:val="21"/>
                <w:szCs w:val="21"/>
              </w:rPr>
              <w:t>7.1.4</w:t>
            </w:r>
          </w:p>
          <w:p>
            <w:pPr>
              <w:rPr>
                <w:rFonts w:hint="default" w:eastAsia="宋体"/>
                <w:sz w:val="21"/>
                <w:szCs w:val="21"/>
                <w:lang w:val="en-US" w:eastAsia="zh-CN"/>
              </w:rPr>
            </w:pPr>
            <w:r>
              <w:rPr>
                <w:rFonts w:hint="eastAsia"/>
                <w:sz w:val="21"/>
                <w:szCs w:val="21"/>
              </w:rPr>
              <w:t>7.1.5</w:t>
            </w:r>
          </w:p>
        </w:tc>
        <w:tc>
          <w:tcPr>
            <w:tcW w:w="11164" w:type="dxa"/>
            <w:vAlign w:val="top"/>
          </w:tcPr>
          <w:p>
            <w:pPr>
              <w:rPr>
                <w:rFonts w:hint="eastAsia"/>
                <w:sz w:val="21"/>
                <w:szCs w:val="21"/>
                <w:lang w:eastAsia="zh-CN"/>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sz w:val="21"/>
                <w:szCs w:val="21"/>
                <w:highlight w:val="none"/>
                <w:lang w:val="en-US" w:eastAsia="zh-CN"/>
              </w:rPr>
              <w:t>精密推台锯、排钻机、木工砂光机、封边机、修边机</w:t>
            </w:r>
            <w:r>
              <w:rPr>
                <w:rFonts w:hint="eastAsia"/>
                <w:sz w:val="21"/>
                <w:szCs w:val="21"/>
              </w:rPr>
              <w:t>，满足</w:t>
            </w:r>
            <w:r>
              <w:rPr>
                <w:rFonts w:hint="eastAsia"/>
                <w:sz w:val="21"/>
                <w:szCs w:val="21"/>
                <w:lang w:eastAsia="zh-CN"/>
              </w:rPr>
              <w:t>生产</w:t>
            </w:r>
            <w:r>
              <w:rPr>
                <w:rFonts w:hint="eastAsia"/>
                <w:sz w:val="21"/>
                <w:szCs w:val="21"/>
              </w:rPr>
              <w:t>需求。</w:t>
            </w:r>
          </w:p>
          <w:p>
            <w:pPr>
              <w:rPr>
                <w:rFonts w:hint="eastAsia"/>
                <w:sz w:val="21"/>
                <w:szCs w:val="21"/>
              </w:rPr>
            </w:pPr>
            <w:r>
              <w:rPr>
                <w:rFonts w:hint="eastAsia"/>
                <w:sz w:val="21"/>
                <w:szCs w:val="21"/>
                <w:lang w:eastAsia="zh-CN"/>
              </w:rPr>
              <w:t>生产车间</w:t>
            </w:r>
            <w:r>
              <w:rPr>
                <w:rFonts w:hint="eastAsia"/>
                <w:sz w:val="21"/>
                <w:szCs w:val="21"/>
                <w:lang w:val="en-US" w:eastAsia="zh-CN"/>
              </w:rPr>
              <w:t>面积1900平米，</w:t>
            </w:r>
            <w:r>
              <w:rPr>
                <w:rFonts w:hint="eastAsia"/>
                <w:sz w:val="21"/>
                <w:szCs w:val="21"/>
                <w:lang w:eastAsia="zh-CN"/>
              </w:rPr>
              <w:t>工序布局合理，场所卫生干净整洁，配有通风设施，工作环境良好</w:t>
            </w:r>
            <w:r>
              <w:rPr>
                <w:rFonts w:hint="eastAsia"/>
                <w:sz w:val="21"/>
                <w:szCs w:val="21"/>
              </w:rPr>
              <w:t>。</w:t>
            </w:r>
          </w:p>
          <w:p>
            <w:pPr>
              <w:rPr>
                <w:rFonts w:ascii="Times New Roman" w:hAnsi="Times New Roman" w:eastAsia="宋体" w:cs="Times New Roman"/>
                <w:kern w:val="2"/>
                <w:sz w:val="21"/>
                <w:lang w:val="en-US" w:eastAsia="zh-CN" w:bidi="ar-SA"/>
              </w:rPr>
            </w:pPr>
            <w:r>
              <w:rPr>
                <w:rFonts w:hint="eastAsia"/>
                <w:sz w:val="21"/>
                <w:szCs w:val="21"/>
              </w:rPr>
              <w:t>主要检测设备包括：</w:t>
            </w:r>
            <w:r>
              <w:rPr>
                <w:rFonts w:hint="eastAsia"/>
                <w:sz w:val="21"/>
                <w:szCs w:val="21"/>
                <w:lang w:val="en-US" w:eastAsia="zh-CN"/>
              </w:rPr>
              <w:t>钢直尺、游标卡尺、钢卷尺、直角尺</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策划、编制了《环境因素识别与评价控制程序</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能源的消耗、焊烟排放、</w:t>
            </w:r>
            <w:r>
              <w:rPr>
                <w:rFonts w:hint="default" w:ascii="Times New Roman" w:hAnsi="Times New Roman" w:cs="Times New Roman"/>
                <w:sz w:val="21"/>
                <w:szCs w:val="21"/>
                <w:highlight w:val="none"/>
              </w:rPr>
              <w:t>废气排放、噪声排放等。</w:t>
            </w:r>
            <w:bookmarkStart w:id="0" w:name="_GoBack"/>
            <w:bookmarkEnd w:id="0"/>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可以提供《重要环境因素清单》，其中重要环境因素：</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、固体废弃物排放、噪声排放、火灾的发生，评价准确</w:t>
            </w:r>
          </w:p>
        </w:tc>
        <w:tc>
          <w:tcPr>
            <w:tcW w:w="928" w:type="dxa"/>
          </w:tc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1354F5"/>
    <w:rsid w:val="175F1452"/>
    <w:rsid w:val="2858425E"/>
    <w:rsid w:val="2BEE44E1"/>
    <w:rsid w:val="6242074B"/>
    <w:rsid w:val="6EDF2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2020-04-30T07:19:05Z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