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206"/>
        <w:gridCol w:w="132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石家庄市晟邦家具有限公司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专业小类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4" w:name="专业代码"/>
            <w:r>
              <w:rPr>
                <w:b/>
                <w:sz w:val="21"/>
                <w:szCs w:val="21"/>
              </w:rPr>
              <w:t>Q：23.01.01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O：23.01.01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张星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bookmarkStart w:id="5" w:name="_GoBack"/>
            <w:bookmarkEnd w:id="5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钢木家具：饰面人造板→下料→排孔→封边→（+钢制件）→组装→成品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木制家具：开料→封边→排孔→底漆→打磨→面漆→自然风干→组装→成品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生产任务未按时完成，设备故障，工人操作不当，控制措施：生产和服务控制程序、设备操作规程、作业指导书；特殊过程为封边、喷涂，是否从人员、设备、工艺等方面进行了确认。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、GB/T 3324-2017《木家具通用技术条件》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如有型式试验要求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rFonts w:hint="eastAsia"/>
                <w:b/>
                <w:sz w:val="21"/>
                <w:szCs w:val="21"/>
              </w:rPr>
              <w:t>要进行说明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GB/T 3324-2017《木家具通用技术条件》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1"/>
          <w:szCs w:val="21"/>
          <w:lang w:val="en-US" w:eastAsia="zh-CN"/>
        </w:rPr>
      </w:pPr>
      <w:r>
        <w:rPr>
          <w:rFonts w:hint="eastAsia" w:ascii="宋体"/>
          <w:b/>
          <w:sz w:val="21"/>
          <w:szCs w:val="21"/>
        </w:rPr>
        <w:t>填表人</w:t>
      </w:r>
      <w:r>
        <w:rPr>
          <w:rFonts w:ascii="宋体"/>
          <w:b/>
          <w:sz w:val="21"/>
          <w:szCs w:val="21"/>
        </w:rPr>
        <w:t>(</w:t>
      </w:r>
      <w:r>
        <w:rPr>
          <w:rFonts w:hint="eastAsia" w:ascii="宋体"/>
          <w:b/>
          <w:sz w:val="21"/>
          <w:szCs w:val="21"/>
        </w:rPr>
        <w:t>专业人员</w:t>
      </w:r>
      <w:r>
        <w:rPr>
          <w:rFonts w:ascii="宋体"/>
          <w:b/>
          <w:sz w:val="21"/>
          <w:szCs w:val="21"/>
        </w:rPr>
        <w:t>)</w:t>
      </w:r>
      <w:r>
        <w:rPr>
          <w:rFonts w:hint="eastAsia" w:ascii="宋体"/>
          <w:b/>
          <w:sz w:val="21"/>
          <w:szCs w:val="21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吉洁</w:t>
      </w:r>
      <w:r>
        <w:rPr>
          <w:rFonts w:hint="eastAsia" w:ascii="宋体"/>
          <w:b/>
          <w:sz w:val="21"/>
          <w:szCs w:val="21"/>
        </w:rPr>
        <w:t xml:space="preserve">  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2020.4.20</w:t>
      </w:r>
      <w:r>
        <w:rPr>
          <w:rFonts w:hint="eastAsia"/>
          <w:b/>
          <w:sz w:val="21"/>
          <w:szCs w:val="21"/>
        </w:rPr>
        <w:t xml:space="preserve">              </w:t>
      </w:r>
      <w:r>
        <w:rPr>
          <w:rFonts w:hint="eastAsia" w:ascii="宋体"/>
          <w:b/>
          <w:sz w:val="21"/>
          <w:szCs w:val="21"/>
        </w:rPr>
        <w:t>审核组长：</w:t>
      </w:r>
      <w:r>
        <w:rPr>
          <w:rFonts w:hint="eastAsia" w:ascii="宋体"/>
          <w:b/>
          <w:sz w:val="21"/>
          <w:szCs w:val="21"/>
          <w:lang w:val="en-US" w:eastAsia="zh-CN"/>
        </w:rPr>
        <w:t>吉洁</w:t>
      </w:r>
      <w:r>
        <w:rPr>
          <w:rFonts w:hint="eastAsia" w:ascii="宋体"/>
          <w:b/>
          <w:sz w:val="21"/>
          <w:szCs w:val="21"/>
        </w:rPr>
        <w:t xml:space="preserve">    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2020.4.20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84F7A5D"/>
    <w:rsid w:val="4E990462"/>
    <w:rsid w:val="524558D9"/>
    <w:rsid w:val="6E8049CB"/>
    <w:rsid w:val="7225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locked/>
    <w:uiPriority w:val="22"/>
    <w:rPr>
      <w:b/>
      <w:bCs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2020-04-30T05:53:12Z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