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03" w:firstLineChars="49"/>
        <w:jc w:val="right"/>
        <w:rPr>
          <w:color w:val="000000"/>
        </w:rPr>
      </w:pPr>
      <w:r>
        <w:rPr>
          <w:rFonts w:hint="eastAsia" w:ascii="楷体" w:hAnsi="楷体" w:eastAsia="楷体"/>
          <w:color w:val="000000"/>
          <w:sz w:val="21"/>
          <w:szCs w:val="21"/>
        </w:rPr>
        <w:t>合同编号：</w:t>
      </w:r>
      <w:bookmarkStart w:id="0" w:name="合同编号"/>
      <w:r>
        <w:rPr>
          <w:color w:val="000000"/>
          <w:sz w:val="21"/>
          <w:szCs w:val="21"/>
        </w:rPr>
        <w:t>0124-2020-QEO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霸州市鑫智教学设备有限公司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23"/>
        <w:gridCol w:w="371"/>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31"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80"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23" w:type="dxa"/>
            <w:vAlign w:val="center"/>
          </w:tcPr>
          <w:p>
            <w:pPr>
              <w:rPr>
                <w:b/>
                <w:color w:val="000000"/>
                <w:sz w:val="20"/>
                <w:szCs w:val="20"/>
              </w:rPr>
            </w:pPr>
            <w:r>
              <w:rPr>
                <w:rFonts w:hint="eastAsia"/>
                <w:b/>
                <w:color w:val="000000"/>
                <w:sz w:val="20"/>
                <w:szCs w:val="20"/>
              </w:rPr>
              <w:t>邮箱</w:t>
            </w:r>
          </w:p>
        </w:tc>
        <w:tc>
          <w:tcPr>
            <w:tcW w:w="2550"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rFonts w:hint="eastAsia"/>
                <w:b/>
                <w:color w:val="000000"/>
                <w:sz w:val="20"/>
                <w:szCs w:val="20"/>
              </w:rPr>
            </w:pPr>
            <w:r>
              <w:rPr>
                <w:rFonts w:hint="eastAsia"/>
                <w:b/>
                <w:color w:val="000000"/>
                <w:sz w:val="20"/>
                <w:szCs w:val="20"/>
              </w:rPr>
              <w:t>2019-N1QMS-3022240</w:t>
            </w:r>
          </w:p>
          <w:p>
            <w:pPr>
              <w:spacing w:line="240" w:lineRule="exact"/>
              <w:jc w:val="center"/>
              <w:rPr>
                <w:rFonts w:hint="eastAsia"/>
                <w:b/>
                <w:color w:val="000000"/>
                <w:sz w:val="20"/>
                <w:szCs w:val="20"/>
              </w:rPr>
            </w:pPr>
            <w:r>
              <w:rPr>
                <w:rFonts w:hint="eastAsia"/>
                <w:b/>
                <w:color w:val="000000"/>
                <w:sz w:val="20"/>
                <w:szCs w:val="20"/>
              </w:rPr>
              <w:t>2020-N1EMS-3022240</w:t>
            </w:r>
          </w:p>
          <w:p>
            <w:pPr>
              <w:spacing w:line="240" w:lineRule="exact"/>
              <w:jc w:val="center"/>
              <w:rPr>
                <w:b/>
                <w:color w:val="000000"/>
                <w:sz w:val="20"/>
                <w:szCs w:val="20"/>
              </w:rPr>
            </w:pPr>
            <w:r>
              <w:rPr>
                <w:rFonts w:hint="eastAsia"/>
                <w:b/>
                <w:color w:val="000000"/>
                <w:sz w:val="20"/>
                <w:szCs w:val="20"/>
              </w:rPr>
              <w:t>2020-N1OHSMS-3022240</w:t>
            </w:r>
          </w:p>
        </w:tc>
        <w:tc>
          <w:tcPr>
            <w:tcW w:w="2179" w:type="dxa"/>
            <w:gridSpan w:val="2"/>
            <w:vAlign w:val="center"/>
          </w:tcPr>
          <w:p>
            <w:pPr>
              <w:spacing w:line="240" w:lineRule="exact"/>
              <w:jc w:val="center"/>
              <w:rPr>
                <w:b/>
                <w:color w:val="000000"/>
                <w:sz w:val="20"/>
                <w:szCs w:val="20"/>
              </w:rPr>
            </w:pPr>
            <w:r>
              <w:rPr>
                <w:b/>
                <w:color w:val="000000"/>
                <w:sz w:val="20"/>
                <w:szCs w:val="20"/>
              </w:rPr>
              <w:t>Q:23.01.01,23.01.04</w:t>
            </w:r>
          </w:p>
          <w:p>
            <w:pPr>
              <w:spacing w:line="240" w:lineRule="exact"/>
              <w:jc w:val="center"/>
              <w:rPr>
                <w:b/>
                <w:color w:val="000000"/>
                <w:sz w:val="20"/>
                <w:szCs w:val="20"/>
              </w:rPr>
            </w:pPr>
            <w:r>
              <w:rPr>
                <w:b/>
                <w:color w:val="000000"/>
                <w:sz w:val="20"/>
                <w:szCs w:val="20"/>
              </w:rPr>
              <w:t>E:23.01.01,23.01.04</w:t>
            </w:r>
          </w:p>
          <w:p>
            <w:pPr>
              <w:spacing w:line="240" w:lineRule="exact"/>
              <w:jc w:val="center"/>
              <w:rPr>
                <w:b/>
                <w:color w:val="000000"/>
                <w:sz w:val="20"/>
                <w:szCs w:val="20"/>
              </w:rPr>
            </w:pPr>
            <w:r>
              <w:rPr>
                <w:b/>
                <w:color w:val="000000"/>
                <w:sz w:val="20"/>
                <w:szCs w:val="20"/>
              </w:rP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朱晓丽</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rFonts w:hint="eastAsia"/>
                <w:b/>
                <w:color w:val="000000"/>
                <w:sz w:val="20"/>
                <w:szCs w:val="20"/>
              </w:rPr>
            </w:pPr>
            <w:r>
              <w:rPr>
                <w:rFonts w:hint="eastAsia"/>
                <w:b/>
                <w:color w:val="000000"/>
                <w:sz w:val="20"/>
                <w:szCs w:val="20"/>
              </w:rPr>
              <w:t>2018-N1QMS-2205805</w:t>
            </w:r>
          </w:p>
          <w:p>
            <w:pPr>
              <w:spacing w:line="240" w:lineRule="exact"/>
              <w:jc w:val="center"/>
              <w:rPr>
                <w:b/>
                <w:color w:val="000000"/>
                <w:sz w:val="20"/>
                <w:szCs w:val="20"/>
              </w:rPr>
            </w:pPr>
            <w:r>
              <w:rPr>
                <w:rFonts w:hint="eastAsia"/>
                <w:b/>
                <w:color w:val="000000"/>
                <w:sz w:val="20"/>
                <w:szCs w:val="20"/>
              </w:rPr>
              <w:t>2018-N1EMS-2205805</w:t>
            </w:r>
          </w:p>
        </w:tc>
        <w:tc>
          <w:tcPr>
            <w:tcW w:w="2179" w:type="dxa"/>
            <w:gridSpan w:val="2"/>
            <w:vAlign w:val="center"/>
          </w:tcPr>
          <w:p>
            <w:pPr>
              <w:spacing w:line="240" w:lineRule="exact"/>
              <w:jc w:val="center"/>
              <w:rPr>
                <w:b/>
                <w:color w:val="000000"/>
                <w:sz w:val="20"/>
                <w:szCs w:val="20"/>
              </w:rPr>
            </w:pPr>
            <w:r>
              <w:rPr>
                <w:b/>
                <w:color w:val="000000"/>
                <w:sz w:val="20"/>
                <w:szCs w:val="20"/>
              </w:rPr>
              <w:t>Q:23.01.04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rFonts w:hint="eastAsia"/>
                <w:b/>
                <w:color w:val="000000"/>
                <w:sz w:val="20"/>
                <w:szCs w:val="20"/>
              </w:rPr>
            </w:pPr>
            <w:r>
              <w:rPr>
                <w:rFonts w:hint="eastAsia"/>
                <w:b/>
                <w:color w:val="000000"/>
                <w:sz w:val="20"/>
                <w:szCs w:val="20"/>
              </w:rPr>
              <w:t>2020-N0QMS-1263722</w:t>
            </w:r>
          </w:p>
          <w:p>
            <w:pPr>
              <w:spacing w:line="240" w:lineRule="exact"/>
              <w:jc w:val="center"/>
              <w:rPr>
                <w:b/>
                <w:color w:val="000000"/>
                <w:sz w:val="20"/>
                <w:szCs w:val="20"/>
              </w:rPr>
            </w:pPr>
            <w:r>
              <w:rPr>
                <w:rFonts w:hint="eastAsia"/>
                <w:b/>
                <w:color w:val="000000"/>
                <w:sz w:val="20"/>
                <w:szCs w:val="20"/>
              </w:rPr>
              <w:t>2020-N0EMS-1263722</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rPr>
          <w:rFonts w:hint="eastAsia" w:ascii="宋体" w:hAnsi="宋体"/>
          <w:b/>
          <w:color w:val="000000"/>
          <w:spacing w:val="-8"/>
          <w:sz w:val="26"/>
          <w:szCs w:val="26"/>
        </w:rPr>
      </w:pPr>
      <w:r>
        <w:rPr>
          <w:rFonts w:hint="eastAsia" w:ascii="宋体" w:hAnsi="宋体"/>
          <w:b/>
          <w:color w:val="000000"/>
          <w:spacing w:val="-8"/>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rPr>
          <w:rFonts w:hint="eastAsia" w:ascii="宋体" w:hAnsi="宋体"/>
          <w:b/>
          <w:color w:val="000000"/>
          <w:spacing w:val="-8"/>
          <w:sz w:val="26"/>
          <w:szCs w:val="26"/>
        </w:rPr>
      </w:pPr>
      <w:r>
        <w:rPr>
          <w:rFonts w:hint="eastAsia" w:ascii="宋体" w:hAnsi="宋体"/>
          <w:b/>
          <w:color w:val="000000"/>
          <w:spacing w:val="-8"/>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914"/>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6" w:name="组织名称Add2"/>
            <w:r>
              <w:rPr>
                <w:rFonts w:ascii="宋体"/>
                <w:b w:val="0"/>
                <w:bCs/>
                <w:color w:val="000000"/>
                <w:sz w:val="20"/>
                <w:szCs w:val="20"/>
              </w:rPr>
              <w:t>霸州市鑫智教学设备有限公司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z w:val="20"/>
                <w:szCs w:val="20"/>
              </w:rPr>
              <w:t>注册地址</w:t>
            </w:r>
          </w:p>
        </w:tc>
        <w:tc>
          <w:tcPr>
            <w:tcW w:w="4692" w:type="dxa"/>
            <w:gridSpan w:val="3"/>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7" w:name="注册地址"/>
            <w:r>
              <w:rPr>
                <w:rFonts w:ascii="宋体"/>
                <w:b w:val="0"/>
                <w:bCs/>
                <w:color w:val="000000"/>
                <w:sz w:val="20"/>
                <w:szCs w:val="20"/>
              </w:rPr>
              <w:t>河北省廊坊市霸州市王庄子乡王庄子村</w:t>
            </w:r>
            <w:bookmarkEnd w:id="7"/>
          </w:p>
        </w:tc>
        <w:tc>
          <w:tcPr>
            <w:tcW w:w="914"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bCs w:val="0"/>
                <w:color w:val="000000"/>
                <w:sz w:val="20"/>
                <w:szCs w:val="20"/>
              </w:rPr>
            </w:pPr>
            <w:r>
              <w:rPr>
                <w:rFonts w:hint="eastAsia" w:ascii="宋体" w:hAnsi="宋体"/>
                <w:b/>
                <w:bCs w:val="0"/>
                <w:color w:val="000000"/>
                <w:sz w:val="20"/>
                <w:szCs w:val="20"/>
              </w:rPr>
              <w:t>邮编</w:t>
            </w:r>
          </w:p>
        </w:tc>
        <w:tc>
          <w:tcPr>
            <w:tcW w:w="1886"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8" w:name="注册邮编"/>
            <w:r>
              <w:rPr>
                <w:rFonts w:ascii="宋体"/>
                <w:b w:val="0"/>
                <w:bCs/>
                <w:color w:val="000000"/>
                <w:sz w:val="20"/>
                <w:szCs w:val="20"/>
              </w:rPr>
              <w:t>065700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z w:val="20"/>
                <w:szCs w:val="20"/>
              </w:rPr>
              <w:t>经营地址</w:t>
            </w:r>
          </w:p>
        </w:tc>
        <w:tc>
          <w:tcPr>
            <w:tcW w:w="4692" w:type="dxa"/>
            <w:gridSpan w:val="3"/>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9" w:name="经营地址"/>
            <w:bookmarkEnd w:id="9"/>
            <w:r>
              <w:rPr>
                <w:b w:val="0"/>
                <w:bCs/>
              </w:rPr>
              <w:t>河北省廊坊市霸州市</w:t>
            </w:r>
            <w:r>
              <w:rPr>
                <w:rFonts w:hint="eastAsia"/>
                <w:b w:val="0"/>
                <w:bCs/>
              </w:rPr>
              <w:t>煎茶铺镇中台山村北</w:t>
            </w:r>
          </w:p>
        </w:tc>
        <w:tc>
          <w:tcPr>
            <w:tcW w:w="914"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bCs w:val="0"/>
                <w:color w:val="000000"/>
                <w:sz w:val="20"/>
                <w:szCs w:val="20"/>
              </w:rPr>
            </w:pPr>
          </w:p>
        </w:tc>
        <w:tc>
          <w:tcPr>
            <w:tcW w:w="1886"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10" w:name="经营邮编"/>
            <w:bookmarkEnd w:id="10"/>
            <w:r>
              <w:rPr>
                <w:rFonts w:ascii="宋体"/>
                <w:b w:val="0"/>
                <w:bCs/>
                <w:color w:val="000000"/>
                <w:sz w:val="20"/>
                <w:szCs w:val="20"/>
              </w:rPr>
              <w:t>065700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z w:val="20"/>
                <w:szCs w:val="20"/>
              </w:rPr>
              <w:t>生产地址</w:t>
            </w:r>
          </w:p>
        </w:tc>
        <w:tc>
          <w:tcPr>
            <w:tcW w:w="4692" w:type="dxa"/>
            <w:gridSpan w:val="3"/>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r>
              <w:rPr>
                <w:b w:val="0"/>
                <w:bCs/>
              </w:rPr>
              <w:t>河北省廊坊市霸州市</w:t>
            </w:r>
            <w:r>
              <w:rPr>
                <w:rFonts w:hint="eastAsia"/>
                <w:b w:val="0"/>
                <w:bCs/>
              </w:rPr>
              <w:t>煎茶铺镇中台山村北</w:t>
            </w:r>
          </w:p>
        </w:tc>
        <w:tc>
          <w:tcPr>
            <w:tcW w:w="914"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bCs w:val="0"/>
                <w:color w:val="000000"/>
                <w:sz w:val="20"/>
                <w:szCs w:val="20"/>
              </w:rPr>
            </w:pPr>
          </w:p>
        </w:tc>
        <w:tc>
          <w:tcPr>
            <w:tcW w:w="1886"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11" w:name="生产邮编Add1"/>
            <w:r>
              <w:rPr>
                <w:rFonts w:ascii="宋体"/>
                <w:b w:val="0"/>
                <w:bCs/>
                <w:color w:val="000000"/>
                <w:sz w:val="20"/>
                <w:szCs w:val="20"/>
              </w:rPr>
              <w:t>065700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z w:val="20"/>
                <w:szCs w:val="20"/>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12" w:name="联系人Add1"/>
            <w:r>
              <w:rPr>
                <w:rFonts w:ascii="宋体"/>
                <w:b w:val="0"/>
                <w:bCs/>
                <w:color w:val="000000"/>
                <w:sz w:val="20"/>
                <w:szCs w:val="20"/>
              </w:rPr>
              <w:t>杨合香</w:t>
            </w:r>
            <w:bookmarkEnd w:id="12"/>
          </w:p>
        </w:tc>
        <w:tc>
          <w:tcPr>
            <w:tcW w:w="146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bCs w:val="0"/>
                <w:color w:val="000000"/>
                <w:sz w:val="20"/>
                <w:szCs w:val="20"/>
              </w:rPr>
            </w:pPr>
            <w:r>
              <w:rPr>
                <w:rFonts w:hint="eastAsia" w:ascii="宋体" w:hAnsi="宋体"/>
                <w:b/>
                <w:bCs w:val="0"/>
                <w:color w:val="000000"/>
                <w:sz w:val="20"/>
                <w:szCs w:val="20"/>
              </w:rPr>
              <w:t>电话</w:t>
            </w:r>
          </w:p>
        </w:tc>
        <w:tc>
          <w:tcPr>
            <w:tcW w:w="2180"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13" w:name="联系人电话Add1"/>
            <w:r>
              <w:rPr>
                <w:rFonts w:ascii="宋体"/>
                <w:b w:val="0"/>
                <w:bCs/>
                <w:color w:val="000000"/>
                <w:sz w:val="20"/>
                <w:szCs w:val="20"/>
              </w:rPr>
              <w:t>13932647773</w:t>
            </w:r>
            <w:bookmarkEnd w:id="13"/>
          </w:p>
        </w:tc>
        <w:tc>
          <w:tcPr>
            <w:tcW w:w="914"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bCs w:val="0"/>
                <w:color w:val="000000"/>
                <w:sz w:val="20"/>
                <w:szCs w:val="20"/>
              </w:rPr>
            </w:pPr>
            <w:r>
              <w:rPr>
                <w:rFonts w:hint="eastAsia" w:ascii="宋体" w:hAnsi="宋体"/>
                <w:b/>
                <w:bCs w:val="0"/>
                <w:color w:val="000000"/>
                <w:sz w:val="20"/>
                <w:szCs w:val="20"/>
              </w:rPr>
              <w:t>传真</w:t>
            </w:r>
          </w:p>
        </w:tc>
        <w:tc>
          <w:tcPr>
            <w:tcW w:w="1886"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eastAsia="宋体"/>
                <w:b w:val="0"/>
                <w:bCs/>
                <w:color w:val="000000"/>
                <w:sz w:val="20"/>
                <w:szCs w:val="20"/>
                <w:lang w:val="en-US" w:eastAsia="zh-CN"/>
              </w:rPr>
            </w:pPr>
            <w:bookmarkStart w:id="14" w:name="联系人传真Add1"/>
            <w:bookmarkEnd w:id="14"/>
            <w:r>
              <w:rPr>
                <w:rFonts w:hint="eastAsia" w:ascii="宋体"/>
                <w:b w:val="0"/>
                <w:bCs/>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z w:val="20"/>
                <w:szCs w:val="20"/>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15" w:name="法人"/>
            <w:r>
              <w:rPr>
                <w:rFonts w:ascii="宋体"/>
                <w:b w:val="0"/>
                <w:bCs/>
                <w:color w:val="000000"/>
                <w:sz w:val="20"/>
                <w:szCs w:val="20"/>
              </w:rPr>
              <w:t>杨合香</w:t>
            </w:r>
            <w:bookmarkEnd w:id="15"/>
          </w:p>
        </w:tc>
        <w:tc>
          <w:tcPr>
            <w:tcW w:w="1463"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bCs w:val="0"/>
                <w:color w:val="000000"/>
                <w:sz w:val="20"/>
                <w:szCs w:val="20"/>
              </w:rPr>
            </w:pPr>
            <w:r>
              <w:rPr>
                <w:rFonts w:hint="eastAsia" w:ascii="宋体" w:hAnsi="宋体"/>
                <w:b/>
                <w:bCs w:val="0"/>
                <w:color w:val="000000"/>
                <w:sz w:val="20"/>
                <w:szCs w:val="20"/>
              </w:rPr>
              <w:t>管理者代表</w:t>
            </w:r>
          </w:p>
        </w:tc>
        <w:tc>
          <w:tcPr>
            <w:tcW w:w="2180"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16" w:name="管理者代表"/>
            <w:r>
              <w:rPr>
                <w:rFonts w:ascii="宋体"/>
                <w:b w:val="0"/>
                <w:bCs/>
                <w:color w:val="000000"/>
                <w:sz w:val="20"/>
                <w:szCs w:val="20"/>
              </w:rPr>
              <w:t>杨合香</w:t>
            </w:r>
            <w:bookmarkEnd w:id="16"/>
          </w:p>
        </w:tc>
        <w:tc>
          <w:tcPr>
            <w:tcW w:w="914"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bCs w:val="0"/>
                <w:color w:val="000000"/>
                <w:sz w:val="20"/>
                <w:szCs w:val="20"/>
              </w:rPr>
            </w:pPr>
            <w:r>
              <w:rPr>
                <w:rFonts w:hint="eastAsia" w:ascii="宋体"/>
                <w:b/>
                <w:bCs w:val="0"/>
                <w:color w:val="000000"/>
                <w:sz w:val="20"/>
                <w:szCs w:val="20"/>
              </w:rPr>
              <w:t>邮箱</w:t>
            </w:r>
          </w:p>
        </w:tc>
        <w:tc>
          <w:tcPr>
            <w:tcW w:w="1886"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17" w:name="联系人邮箱Add1"/>
            <w:r>
              <w:rPr>
                <w:rFonts w:ascii="宋体"/>
                <w:b w:val="0"/>
                <w:bCs/>
                <w:color w:val="000000"/>
                <w:sz w:val="20"/>
                <w:szCs w:val="20"/>
              </w:rPr>
              <w:t>947281859@qq.com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pacing w:val="-8"/>
                <w:sz w:val="20"/>
                <w:szCs w:val="20"/>
              </w:rPr>
              <w:t>体系文件实施时间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eastAsia="宋体"/>
                <w:b w:val="0"/>
                <w:bCs/>
                <w:color w:val="000000"/>
                <w:sz w:val="20"/>
                <w:szCs w:val="20"/>
                <w:lang w:val="en-US" w:eastAsia="zh-CN"/>
              </w:rPr>
            </w:pPr>
            <w:r>
              <w:rPr>
                <w:rFonts w:hint="eastAsia" w:ascii="宋体"/>
                <w:b w:val="0"/>
                <w:bCs/>
                <w:color w:val="000000"/>
                <w:sz w:val="20"/>
                <w:szCs w:val="20"/>
                <w:lang w:val="en-US" w:eastAsia="zh-CN"/>
              </w:rPr>
              <w:t>2019年12月5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z w:val="20"/>
                <w:szCs w:val="20"/>
              </w:rPr>
              <w:t>初定的管理体系认证范围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u w:val="single"/>
              </w:rPr>
            </w:pPr>
            <w:bookmarkStart w:id="18" w:name="审核范围"/>
            <w:r>
              <w:rPr>
                <w:rFonts w:ascii="宋体" w:hAnsi="宋体"/>
                <w:b w:val="0"/>
                <w:bCs/>
                <w:color w:val="000000"/>
                <w:sz w:val="20"/>
                <w:szCs w:val="20"/>
              </w:rPr>
              <w:t>Q：钢木家具（课桌凳、课桌椅、上下床、餐桌椅、排椅）的生产及销售</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b w:val="0"/>
                <w:bCs/>
                <w:color w:val="000000"/>
                <w:sz w:val="20"/>
                <w:szCs w:val="20"/>
              </w:rPr>
            </w:pPr>
            <w:r>
              <w:rPr>
                <w:rFonts w:ascii="宋体" w:hAnsi="宋体"/>
                <w:b w:val="0"/>
                <w:bCs/>
                <w:color w:val="000000"/>
                <w:sz w:val="20"/>
                <w:szCs w:val="20"/>
              </w:rPr>
              <w:t>E：钢木家具（课桌凳、课桌椅、上下床、餐桌椅、排椅）的生产及销售所涉及的环境管理活动</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b w:val="0"/>
                <w:bCs/>
                <w:color w:val="000000"/>
                <w:sz w:val="20"/>
                <w:szCs w:val="20"/>
              </w:rPr>
            </w:pPr>
            <w:r>
              <w:rPr>
                <w:rFonts w:ascii="宋体" w:hAnsi="宋体"/>
                <w:b w:val="0"/>
                <w:bCs/>
                <w:color w:val="000000"/>
                <w:sz w:val="20"/>
                <w:szCs w:val="20"/>
              </w:rPr>
              <w:t>O：钢木家具（课桌凳、课桌椅、上下床、餐桌椅、排椅）的生产及销售所涉及的职业健康安全管理活动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pacing w:val="-8"/>
                <w:sz w:val="20"/>
                <w:szCs w:val="20"/>
              </w:rPr>
            </w:pPr>
            <w:r>
              <w:rPr>
                <w:rFonts w:hint="eastAsia" w:ascii="宋体" w:hAnsi="宋体"/>
                <w:b/>
                <w:bCs w:val="0"/>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bookmarkStart w:id="19" w:name="专业代码"/>
            <w:r>
              <w:rPr>
                <w:rFonts w:ascii="宋体"/>
                <w:b w:val="0"/>
                <w:bCs/>
                <w:color w:val="000000"/>
                <w:sz w:val="20"/>
                <w:szCs w:val="20"/>
              </w:rPr>
              <w:t>Q：23.01.01;23.01.04</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r>
              <w:rPr>
                <w:rFonts w:ascii="宋体"/>
                <w:b w:val="0"/>
                <w:bCs/>
                <w:color w:val="000000"/>
                <w:sz w:val="20"/>
                <w:szCs w:val="20"/>
              </w:rPr>
              <w:t>E：23.01.01;23.01.04</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r>
              <w:rPr>
                <w:rFonts w:ascii="宋体"/>
                <w:b w:val="0"/>
                <w:bCs/>
                <w:color w:val="000000"/>
                <w:sz w:val="20"/>
                <w:szCs w:val="20"/>
              </w:rPr>
              <w:t>O：23.01.01;23.01.04</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b/>
                <w:bCs w:val="0"/>
                <w:color w:val="000000"/>
                <w:sz w:val="20"/>
                <w:szCs w:val="20"/>
              </w:rPr>
            </w:pPr>
            <w:r>
              <w:rPr>
                <w:rFonts w:hint="eastAsia" w:ascii="宋体" w:hAnsi="宋体"/>
                <w:b/>
                <w:bCs w:val="0"/>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eastAsia="宋体"/>
                <w:b w:val="0"/>
                <w:bCs/>
                <w:color w:val="000000"/>
                <w:sz w:val="20"/>
                <w:szCs w:val="20"/>
                <w:lang w:val="en-US" w:eastAsia="zh-CN"/>
              </w:rPr>
            </w:pPr>
            <w:r>
              <w:rPr>
                <w:rFonts w:hint="eastAsia" w:ascii="宋体" w:hAnsi="宋体"/>
                <w:b w:val="0"/>
                <w:bCs/>
                <w:color w:val="000000"/>
                <w:sz w:val="20"/>
                <w:szCs w:val="20"/>
              </w:rPr>
              <w:t>总部以外分公司</w:t>
            </w:r>
            <w:r>
              <w:rPr>
                <w:rFonts w:ascii="宋体" w:hAnsi="宋体"/>
                <w:b w:val="0"/>
                <w:bCs/>
                <w:color w:val="000000"/>
                <w:sz w:val="20"/>
                <w:szCs w:val="20"/>
              </w:rPr>
              <w:t>(</w:t>
            </w:r>
            <w:r>
              <w:rPr>
                <w:rFonts w:hint="eastAsia" w:ascii="宋体" w:hAnsi="宋体"/>
                <w:b w:val="0"/>
                <w:bCs/>
                <w:color w:val="000000"/>
                <w:sz w:val="20"/>
                <w:szCs w:val="20"/>
              </w:rPr>
              <w:t>分场所</w:t>
            </w:r>
            <w:r>
              <w:rPr>
                <w:rFonts w:ascii="宋体" w:hAnsi="宋体"/>
                <w:b w:val="0"/>
                <w:bCs/>
                <w:color w:val="000000"/>
                <w:sz w:val="20"/>
                <w:szCs w:val="20"/>
              </w:rPr>
              <w:t>)</w:t>
            </w:r>
            <w:r>
              <w:rPr>
                <w:rFonts w:hint="eastAsia" w:ascii="宋体" w:hAnsi="宋体"/>
                <w:b w:val="0"/>
                <w:bCs/>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r>
              <w:rPr>
                <w:rFonts w:hint="eastAsia" w:ascii="宋体" w:hAnsi="宋体"/>
                <w:b w:val="0"/>
                <w:bCs/>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eastAsia="宋体"/>
                <w:b w:val="0"/>
                <w:bCs/>
                <w:color w:val="000000"/>
                <w:sz w:val="20"/>
                <w:szCs w:val="20"/>
                <w:lang w:val="en-US" w:eastAsia="zh-CN"/>
              </w:rPr>
            </w:pPr>
            <w:r>
              <w:rPr>
                <w:rFonts w:hint="eastAsia" w:ascii="宋体" w:hAnsi="宋体"/>
                <w:b w:val="0"/>
                <w:bCs/>
                <w:color w:val="000000"/>
                <w:sz w:val="20"/>
                <w:szCs w:val="20"/>
              </w:rPr>
              <w:t>所有项目部</w:t>
            </w:r>
            <w:r>
              <w:rPr>
                <w:rFonts w:ascii="宋体" w:hAnsi="宋体"/>
                <w:b w:val="0"/>
                <w:bCs/>
                <w:color w:val="000000"/>
                <w:sz w:val="20"/>
                <w:szCs w:val="20"/>
              </w:rPr>
              <w:t>(</w:t>
            </w:r>
            <w:r>
              <w:rPr>
                <w:rFonts w:hint="eastAsia" w:ascii="宋体" w:hAnsi="宋体"/>
                <w:b w:val="0"/>
                <w:bCs/>
                <w:color w:val="000000"/>
                <w:spacing w:val="-2"/>
                <w:sz w:val="20"/>
                <w:szCs w:val="20"/>
              </w:rPr>
              <w:t>临时场所</w:t>
            </w:r>
            <w:r>
              <w:rPr>
                <w:rFonts w:ascii="宋体" w:hAnsi="宋体"/>
                <w:b w:val="0"/>
                <w:bCs/>
                <w:color w:val="000000"/>
                <w:sz w:val="20"/>
                <w:szCs w:val="20"/>
              </w:rPr>
              <w:t>)</w:t>
            </w:r>
            <w:r>
              <w:rPr>
                <w:rFonts w:hint="eastAsia" w:ascii="宋体" w:hAnsi="宋体"/>
                <w:b w:val="0"/>
                <w:bCs/>
                <w:color w:val="000000"/>
                <w:sz w:val="20"/>
                <w:szCs w:val="20"/>
              </w:rPr>
              <w:t>名称、地址</w:t>
            </w:r>
            <w:r>
              <w:rPr>
                <w:rFonts w:ascii="宋体" w:hAnsi="宋体"/>
                <w:b w:val="0"/>
                <w:bCs/>
                <w:color w:val="000000"/>
                <w:sz w:val="20"/>
                <w:szCs w:val="20"/>
              </w:rPr>
              <w:t>(</w:t>
            </w:r>
            <w:r>
              <w:rPr>
                <w:rFonts w:hint="eastAsia" w:ascii="宋体" w:hAnsi="宋体"/>
                <w:b w:val="0"/>
                <w:bCs/>
                <w:color w:val="000000"/>
                <w:sz w:val="20"/>
                <w:szCs w:val="20"/>
              </w:rPr>
              <w:t>可附项目清单</w:t>
            </w:r>
            <w:r>
              <w:rPr>
                <w:rFonts w:ascii="宋体" w:hAnsi="宋体"/>
                <w:b w:val="0"/>
                <w:bCs/>
                <w:color w:val="000000"/>
                <w:sz w:val="20"/>
                <w:szCs w:val="20"/>
              </w:rPr>
              <w:t>)</w:t>
            </w:r>
          </w:p>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b w:val="0"/>
                <w:bCs/>
                <w:color w:val="000000"/>
                <w:sz w:val="20"/>
                <w:szCs w:val="20"/>
              </w:rPr>
            </w:pPr>
            <w:r>
              <w:rPr>
                <w:rFonts w:hint="eastAsia" w:ascii="宋体" w:hAnsi="宋体"/>
                <w:b w:val="0"/>
                <w:bCs/>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管理层、办公室、生产部、质检部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val="0"/>
          <w:bCs w:val="0"/>
          <w:sz w:val="21"/>
          <w:szCs w:val="21"/>
          <w:lang w:val="en-US" w:eastAsia="zh-CN"/>
        </w:rPr>
        <w:t>办公区、生产车间</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0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0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0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0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0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0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0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837"/>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2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534" w:type="dxa"/>
          </w:tcPr>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ascii="宋体"/>
                <w:b/>
                <w:color w:val="000000"/>
                <w:sz w:val="20"/>
                <w:szCs w:val="20"/>
              </w:rPr>
            </w:pPr>
            <w:r>
              <w:rPr>
                <w:rFonts w:hint="eastAsia" w:ascii="宋体" w:hAnsi="宋体"/>
                <w:sz w:val="21"/>
                <w:szCs w:val="21"/>
              </w:rPr>
              <w:t>钢木家具（课桌凳、课桌椅、上下床、餐桌椅、排椅）的生产及销售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534"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0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办公室、质检部、生产部、业务部、财务部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0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Lines="50" w:line="30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0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0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00" w:lineRule="exact"/>
              <w:ind w:firstLine="33"/>
              <w:textAlignment w:val="auto"/>
              <w:rPr>
                <w:rFonts w:ascii="宋体"/>
                <w:b/>
                <w:color w:val="000000"/>
                <w:sz w:val="20"/>
                <w:szCs w:val="20"/>
              </w:rPr>
            </w:pPr>
            <w:r>
              <w:rPr>
                <w:rFonts w:hint="eastAsia" w:ascii="宋体" w:hAnsi="宋体"/>
                <w:b/>
                <w:color w:val="000000"/>
                <w:sz w:val="20"/>
                <w:szCs w:val="20"/>
              </w:rPr>
              <w:t>客户的场所：</w:t>
            </w:r>
            <w:r>
              <w:t>河北省廊坊市霸州市</w:t>
            </w:r>
            <w:r>
              <w:rPr>
                <w:rFonts w:hint="eastAsia"/>
              </w:rPr>
              <w:t>煎茶铺镇中台山村北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0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vAlign w:val="center"/>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60" w:hanging="360"/>
              <w:jc w:val="both"/>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57" w:hanging="357"/>
              <w:textAlignment w:val="auto"/>
              <w:rPr>
                <w:rFonts w:ascii="宋体"/>
                <w:color w:val="000000"/>
                <w:sz w:val="20"/>
                <w:szCs w:val="20"/>
              </w:rPr>
            </w:pPr>
            <w:r>
              <w:rPr>
                <w:rFonts w:hint="eastAsia" w:ascii="宋体" w:hAnsi="宋体"/>
                <w:color w:val="000000"/>
                <w:sz w:val="20"/>
                <w:szCs w:val="20"/>
              </w:rPr>
              <w:t>受审核方位于：</w:t>
            </w:r>
            <w:r>
              <w:t>河北省廊坊市霸州市</w:t>
            </w:r>
            <w:r>
              <w:rPr>
                <w:rFonts w:hint="eastAsia"/>
              </w:rPr>
              <w:t>煎茶铺镇中台山村北</w:t>
            </w:r>
          </w:p>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00" w:lineRule="exact"/>
              <w:ind w:left="357" w:hanging="357"/>
              <w:textAlignment w:val="auto"/>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r>
        <w:rPr>
          <w:rFonts w:hint="eastAsia" w:ascii="宋体" w:hAnsi="宋体" w:cs="Times New Roman"/>
          <w:b/>
          <w:color w:val="000000"/>
          <w:spacing w:val="-2"/>
          <w:kern w:val="2"/>
          <w:sz w:val="26"/>
          <w:szCs w:val="26"/>
          <w:lang w:val="en-US" w:eastAsia="zh-CN" w:bidi="ar-SA"/>
        </w:rPr>
        <w:t>（</w:t>
      </w:r>
      <w:r>
        <w:rPr>
          <w:rFonts w:hint="eastAsia" w:ascii="宋体" w:hAnsi="宋体" w:cs="Times New Roman"/>
          <w:b/>
          <w:color w:val="000000"/>
          <w:sz w:val="20"/>
          <w:szCs w:val="20"/>
          <w:lang w:val="en-US" w:eastAsia="zh-CN"/>
        </w:rPr>
        <w:t>远程审核，</w:t>
      </w: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5</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Style w:val="9"/>
                <w:rFonts w:hint="default" w:ascii="Times New Roman" w:hAnsi="Times New Roman" w:cs="Times New Roman"/>
                <w:b w:val="0"/>
                <w:color w:val="000000"/>
                <w:szCs w:val="21"/>
                <w:highlight w:val="none"/>
              </w:rPr>
              <w:t>GB/T 3325-2008</w:t>
            </w:r>
            <w:r>
              <w:rPr>
                <w:rFonts w:hint="default" w:ascii="Times New Roman" w:hAnsi="Times New Roman" w:cs="Times New Roman"/>
                <w:sz w:val="21"/>
                <w:szCs w:val="21"/>
                <w:highlight w:val="none"/>
                <w:lang w:val="en-US" w:eastAsia="zh-CN"/>
              </w:rPr>
              <w:t>《</w:t>
            </w:r>
            <w:r>
              <w:rPr>
                <w:rFonts w:hint="default" w:ascii="Times New Roman" w:hAnsi="Times New Roman" w:cs="Times New Roman"/>
                <w:color w:val="000000"/>
                <w:szCs w:val="21"/>
                <w:highlight w:val="none"/>
              </w:rPr>
              <w:t>金属家具通用技术条件</w:t>
            </w:r>
            <w:r>
              <w:rPr>
                <w:rFonts w:hint="default" w:ascii="Times New Roman" w:hAnsi="Times New Roman" w:cs="Times New Roman"/>
                <w:color w:val="000000"/>
                <w:szCs w:val="21"/>
                <w:highlight w:val="none"/>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lang w:eastAsia="zh-CN"/>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GB16297-1996、DB13/2322-2016、GB12348-2008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r>
        <w:rPr>
          <w:rFonts w:hint="eastAsia" w:ascii="宋体" w:hAnsi="宋体" w:cs="Times New Roman"/>
          <w:b/>
          <w:color w:val="000000"/>
          <w:spacing w:val="-2"/>
          <w:kern w:val="2"/>
          <w:sz w:val="26"/>
          <w:szCs w:val="26"/>
          <w:lang w:val="en-US" w:eastAsia="zh-CN" w:bidi="ar-SA"/>
        </w:rPr>
        <w:t>（</w:t>
      </w:r>
      <w:r>
        <w:rPr>
          <w:rFonts w:hint="eastAsia" w:ascii="宋体" w:hAnsi="宋体" w:cs="Times New Roman"/>
          <w:b/>
          <w:color w:val="000000"/>
          <w:sz w:val="20"/>
          <w:szCs w:val="20"/>
          <w:lang w:val="en-US" w:eastAsia="zh-CN"/>
        </w:rPr>
        <w:t>远程审核，</w:t>
      </w: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24"/>
                <w:szCs w:val="24"/>
              </w:rPr>
            </w:pPr>
            <w:r>
              <w:rPr>
                <w:rFonts w:hint="eastAsia" w:ascii="Times New Roman" w:hAnsi="Times New Roman" w:cs="Times New Roman"/>
                <w:szCs w:val="22"/>
                <w:lang w:val="en-US" w:eastAsia="zh-CN"/>
              </w:rPr>
              <w:t>下料</w:t>
            </w:r>
            <w:r>
              <w:rPr>
                <w:rFonts w:hint="eastAsia" w:ascii="Times New Roman" w:hAnsi="Times New Roman" w:cs="Times New Roman"/>
                <w:szCs w:val="22"/>
              </w:rPr>
              <w:t>→</w:t>
            </w:r>
            <w:r>
              <w:rPr>
                <w:rFonts w:hint="eastAsia" w:ascii="Times New Roman" w:hAnsi="Times New Roman" w:cs="Times New Roman"/>
                <w:szCs w:val="22"/>
                <w:lang w:val="en-US" w:eastAsia="zh-CN"/>
              </w:rPr>
              <w:t>冲压</w:t>
            </w:r>
            <w:r>
              <w:rPr>
                <w:rFonts w:hint="eastAsia" w:ascii="Times New Roman" w:hAnsi="Times New Roman" w:cs="Times New Roman"/>
                <w:szCs w:val="22"/>
              </w:rPr>
              <w:t>→</w:t>
            </w:r>
            <w:r>
              <w:rPr>
                <w:rFonts w:hint="eastAsia" w:ascii="Times New Roman" w:hAnsi="Times New Roman" w:cs="Times New Roman"/>
                <w:szCs w:val="22"/>
                <w:lang w:val="en-US" w:eastAsia="zh-CN"/>
              </w:rPr>
              <w:t>折弯</w:t>
            </w:r>
            <w:r>
              <w:rPr>
                <w:rFonts w:hint="eastAsia" w:ascii="Times New Roman" w:hAnsi="Times New Roman" w:cs="Times New Roman"/>
                <w:szCs w:val="22"/>
              </w:rPr>
              <w:t>→</w:t>
            </w:r>
            <w:r>
              <w:rPr>
                <w:rFonts w:hint="eastAsia" w:ascii="Times New Roman" w:hAnsi="Times New Roman" w:cs="Times New Roman"/>
                <w:szCs w:val="22"/>
                <w:lang w:val="en-US" w:eastAsia="zh-CN"/>
              </w:rPr>
              <w:t>焊接</w:t>
            </w:r>
            <w:r>
              <w:rPr>
                <w:rFonts w:hint="eastAsia" w:ascii="Times New Roman" w:hAnsi="Times New Roman" w:cs="Times New Roman"/>
                <w:szCs w:val="22"/>
              </w:rPr>
              <w:t>→</w:t>
            </w:r>
            <w:r>
              <w:rPr>
                <w:rFonts w:hint="eastAsia" w:ascii="Times New Roman" w:hAnsi="Times New Roman" w:cs="Times New Roman"/>
                <w:szCs w:val="22"/>
                <w:lang w:val="en-US" w:eastAsia="zh-CN"/>
              </w:rPr>
              <w:t>打磨</w:t>
            </w:r>
            <w:r>
              <w:rPr>
                <w:rFonts w:hint="eastAsia" w:ascii="Times New Roman" w:hAnsi="Times New Roman" w:cs="Times New Roman"/>
                <w:szCs w:val="22"/>
              </w:rPr>
              <w:t>→</w:t>
            </w:r>
            <w:r>
              <w:rPr>
                <w:rFonts w:hint="eastAsia" w:ascii="Times New Roman" w:hAnsi="Times New Roman" w:cs="Times New Roman"/>
                <w:szCs w:val="22"/>
                <w:lang w:val="en-US" w:eastAsia="zh-CN"/>
              </w:rPr>
              <w:t>除锈</w:t>
            </w:r>
            <w:r>
              <w:rPr>
                <w:rFonts w:hint="eastAsia" w:ascii="Times New Roman" w:hAnsi="Times New Roman" w:cs="Times New Roman"/>
                <w:szCs w:val="22"/>
              </w:rPr>
              <w:t>→</w:t>
            </w:r>
            <w:r>
              <w:rPr>
                <w:rFonts w:hint="eastAsia" w:ascii="Times New Roman" w:hAnsi="Times New Roman" w:cs="Times New Roman"/>
                <w:szCs w:val="22"/>
                <w:lang w:val="en-US" w:eastAsia="zh-CN"/>
              </w:rPr>
              <w:t>喷涂</w:t>
            </w:r>
            <w:r>
              <w:rPr>
                <w:rFonts w:hint="eastAsia" w:ascii="Times New Roman" w:hAnsi="Times New Roman" w:cs="Times New Roman"/>
                <w:szCs w:val="22"/>
              </w:rPr>
              <w:t>→</w:t>
            </w:r>
            <w:r>
              <w:rPr>
                <w:rFonts w:hint="eastAsia" w:ascii="Times New Roman" w:hAnsi="Times New Roman" w:cs="Times New Roman"/>
                <w:szCs w:val="22"/>
                <w:lang w:val="en-US" w:eastAsia="zh-CN"/>
              </w:rPr>
              <w:t>组装</w:t>
            </w:r>
            <w:r>
              <w:rPr>
                <w:rFonts w:hint="eastAsia" w:ascii="Times New Roman" w:hAnsi="Times New Roman" w:cs="Times New Roman"/>
                <w:szCs w:val="22"/>
              </w:rPr>
              <w:t>→</w:t>
            </w:r>
            <w:r>
              <w:rPr>
                <w:rFonts w:hint="eastAsia" w:ascii="Times New Roman" w:hAnsi="Times New Roman" w:cs="Times New Roman"/>
                <w:szCs w:val="22"/>
                <w:lang w:val="en-US" w:eastAsia="zh-CN"/>
              </w:rPr>
              <w:t>成品</w:t>
            </w:r>
            <w:r>
              <w:rPr>
                <w:rFonts w:hint="eastAsia" w:ascii="Times New Roman" w:hAnsi="Times New Roman" w:cs="Times New Roman"/>
                <w:szCs w:val="22"/>
              </w:rPr>
              <w:t>→入库</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sz w:val="21"/>
                <w:szCs w:val="21"/>
              </w:rPr>
              <w:t>接受客户意向订单―合同评审―签订合同―下达生产任务单（组织生产）―客户验收―交付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组装作业指导书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需要确认过程：</w:t>
            </w:r>
            <w:r>
              <w:rPr>
                <w:rFonts w:hint="eastAsia"/>
                <w:u w:val="none"/>
                <w:lang w:eastAsia="zh-CN"/>
              </w:rPr>
              <w:t>焊接、喷涂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外包过程有：</w:t>
            </w:r>
            <w:r>
              <w:rPr>
                <w:rFonts w:hint="eastAsia"/>
                <w:u w:val="none"/>
                <w:lang w:eastAsia="zh-CN"/>
              </w:rPr>
              <w:t>板材加工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pacing w:val="-10"/>
                <w:sz w:val="20"/>
                <w:szCs w:val="20"/>
              </w:rPr>
            </w:pPr>
            <w:r>
              <w:rPr>
                <w:rFonts w:hint="eastAsia" w:ascii="宋体" w:hAnsi="宋体"/>
                <w:color w:val="000000"/>
                <w:spacing w:val="-10"/>
                <w:sz w:val="20"/>
                <w:szCs w:val="20"/>
              </w:rPr>
              <w:t>主要设备：</w:t>
            </w:r>
            <w:r>
              <w:rPr>
                <w:rFonts w:hint="eastAsia"/>
                <w:sz w:val="21"/>
                <w:szCs w:val="21"/>
                <w:lang w:val="en-US" w:eastAsia="zh-CN"/>
              </w:rPr>
              <w:t>抛丸机、静电喷涂设备、焊机、切管机、冲压机</w:t>
            </w:r>
            <w:r>
              <w:rPr>
                <w:rFonts w:hint="eastAsia"/>
                <w:sz w:val="21"/>
                <w:szCs w:val="21"/>
                <w:lang w:eastAsia="zh-CN"/>
              </w:rPr>
              <w:t>、</w:t>
            </w:r>
            <w:r>
              <w:rPr>
                <w:rFonts w:hint="eastAsia"/>
                <w:sz w:val="21"/>
                <w:szCs w:val="21"/>
                <w:lang w:val="en-US" w:eastAsia="zh-CN"/>
              </w:rPr>
              <w:t>喷漆房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监视和测量设备（请简述主要监视和测量设备）：</w:t>
            </w:r>
            <w:r>
              <w:rPr>
                <w:rFonts w:hint="eastAsia"/>
                <w:sz w:val="21"/>
                <w:szCs w:val="21"/>
                <w:lang w:val="en-US" w:eastAsia="zh-CN"/>
              </w:rPr>
              <w:t>钢直尺、游标卡尺、压力表、钢卷尺、直角尺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sz w:val="21"/>
                <w:szCs w:val="21"/>
                <w:lang w:eastAsia="zh-CN"/>
              </w:rPr>
              <w:t>生产车间</w:t>
            </w:r>
            <w:r>
              <w:rPr>
                <w:rFonts w:hint="eastAsia"/>
                <w:sz w:val="21"/>
                <w:szCs w:val="21"/>
                <w:lang w:val="en-US" w:eastAsia="zh-CN"/>
              </w:rPr>
              <w:t>面积2000平米，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重要环境因素有：</w:t>
            </w:r>
            <w:r>
              <w:rPr>
                <w:rFonts w:hint="default" w:ascii="Times New Roman" w:hAnsi="Times New Roman" w:cs="Times New Roman"/>
                <w:sz w:val="21"/>
                <w:szCs w:val="21"/>
                <w:highlight w:val="none"/>
                <w:lang w:val="en-US" w:eastAsia="zh-CN"/>
              </w:rPr>
              <w:t>废气的排放</w:t>
            </w:r>
            <w:r>
              <w:rPr>
                <w:rFonts w:hint="default" w:ascii="Times New Roman" w:hAnsi="Times New Roman" w:cs="Times New Roman"/>
                <w:sz w:val="21"/>
                <w:szCs w:val="21"/>
                <w:highlight w:val="none"/>
              </w:rPr>
              <w:t>、固体废弃物排放、噪声排放、火灾的发生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应急预案有：</w:t>
            </w:r>
            <w:r>
              <w:rPr>
                <w:rFonts w:hint="eastAsia"/>
                <w:sz w:val="21"/>
                <w:szCs w:val="21"/>
              </w:rPr>
              <w:t>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不可接受风险有：</w:t>
            </w:r>
            <w:r>
              <w:rPr>
                <w:rFonts w:hint="eastAsia"/>
                <w:sz w:val="21"/>
                <w:szCs w:val="21"/>
                <w:lang w:eastAsia="zh-CN"/>
              </w:rPr>
              <w:t>潜在火灾、触电、废气伤害、机械伤害、噪声伤害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r>
        <w:rPr>
          <w:rFonts w:hint="eastAsia" w:ascii="宋体" w:hAnsi="宋体" w:cs="Times New Roman"/>
          <w:b/>
          <w:color w:val="000000"/>
          <w:spacing w:val="-2"/>
          <w:kern w:val="2"/>
          <w:sz w:val="26"/>
          <w:szCs w:val="26"/>
          <w:lang w:val="en-US" w:eastAsia="zh-CN" w:bidi="ar-SA"/>
        </w:rPr>
        <w:t>（</w:t>
      </w:r>
      <w:r>
        <w:rPr>
          <w:rFonts w:hint="eastAsia" w:ascii="宋体" w:hAnsi="宋体" w:cs="Times New Roman"/>
          <w:b/>
          <w:color w:val="000000"/>
          <w:sz w:val="20"/>
          <w:szCs w:val="20"/>
          <w:lang w:val="en-US" w:eastAsia="zh-CN"/>
        </w:rPr>
        <w:t>远程审核，</w:t>
      </w: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0"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生产部、业务部、质检部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办公室、生产部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keepNext w:val="0"/>
              <w:keepLines w:val="0"/>
              <w:pageBreakBefore w:val="0"/>
              <w:widowControl w:val="0"/>
              <w:kinsoku/>
              <w:wordWrap/>
              <w:overflowPunct/>
              <w:topLinePunct w:val="0"/>
              <w:autoSpaceDE/>
              <w:autoSpaceDN/>
              <w:bidi w:val="0"/>
              <w:adjustRightInd/>
              <w:snapToGrid/>
              <w:spacing w:line="360" w:lineRule="exact"/>
              <w:ind w:left="301" w:hanging="301" w:hangingChars="150"/>
              <w:textAlignment w:val="auto"/>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keepNext w:val="0"/>
              <w:keepLines w:val="0"/>
              <w:pageBreakBefore w:val="0"/>
              <w:widowControl w:val="0"/>
              <w:tabs>
                <w:tab w:val="left" w:pos="577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10" w:firstLineChars="100"/>
        <w:rPr>
          <w:rFonts w:hint="eastAsia"/>
          <w:color w:val="000000"/>
          <w:sz w:val="21"/>
          <w:szCs w:val="21"/>
        </w:rPr>
      </w:pPr>
      <w:r>
        <w:rPr>
          <w:rFonts w:hint="eastAsia" w:ascii="宋体" w:hAnsi="宋体"/>
          <w:sz w:val="21"/>
          <w:szCs w:val="21"/>
        </w:rPr>
        <w:t>Q：钢木家具（课桌凳、课桌椅、上下床、餐桌椅、排椅）的生产及销售</w:t>
      </w:r>
    </w:p>
    <w:p>
      <w:pPr>
        <w:ind w:firstLine="210" w:firstLineChars="100"/>
        <w:rPr>
          <w:rFonts w:hint="eastAsia" w:ascii="宋体" w:hAnsi="宋体"/>
          <w:sz w:val="21"/>
          <w:szCs w:val="21"/>
        </w:rPr>
      </w:pPr>
      <w:r>
        <w:rPr>
          <w:rFonts w:hint="eastAsia" w:ascii="宋体" w:hAnsi="宋体"/>
          <w:sz w:val="21"/>
          <w:szCs w:val="21"/>
        </w:rPr>
        <w:t>E：钢木家具（课桌凳、课桌椅、上下床、餐桌椅、排椅）的生产及销售所涉及的环境管理活动</w:t>
      </w:r>
    </w:p>
    <w:p>
      <w:pPr>
        <w:spacing w:line="300" w:lineRule="auto"/>
        <w:ind w:firstLine="210" w:firstLineChars="100"/>
        <w:rPr>
          <w:rFonts w:hint="eastAsia" w:ascii="宋体" w:hAnsi="宋体"/>
          <w:b/>
          <w:color w:val="000000"/>
          <w:sz w:val="20"/>
          <w:szCs w:val="20"/>
        </w:rPr>
      </w:pPr>
      <w:r>
        <w:rPr>
          <w:rFonts w:hint="eastAsia" w:ascii="宋体" w:hAnsi="宋体"/>
          <w:sz w:val="21"/>
          <w:szCs w:val="21"/>
        </w:rPr>
        <w:t>O：钢木家具（课桌凳、课桌椅、上下床、餐桌椅、排椅）的生产及销售所涉及的职业健康安全管理活动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1837690</wp:posOffset>
            </wp:positionH>
            <wp:positionV relativeFrom="paragraph">
              <wp:posOffset>189230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drawing>
          <wp:anchor distT="0" distB="0" distL="114300" distR="114300" simplePos="0" relativeHeight="251664384" behindDoc="1" locked="0" layoutInCell="1" allowOverlap="1">
            <wp:simplePos x="0" y="0"/>
            <wp:positionH relativeFrom="column">
              <wp:posOffset>3021330</wp:posOffset>
            </wp:positionH>
            <wp:positionV relativeFrom="paragraph">
              <wp:posOffset>158750</wp:posOffset>
            </wp:positionV>
            <wp:extent cx="786765" cy="364490"/>
            <wp:effectExtent l="0" t="0" r="635" b="381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786765" cy="364490"/>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1840230</wp:posOffset>
            </wp:positionH>
            <wp:positionV relativeFrom="paragraph">
              <wp:posOffset>168275</wp:posOffset>
            </wp:positionV>
            <wp:extent cx="889000" cy="4826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889000" cy="482600"/>
                    </a:xfrm>
                    <a:prstGeom prst="rect">
                      <a:avLst/>
                    </a:prstGeom>
                    <a:noFill/>
                    <a:ln>
                      <a:noFill/>
                    </a:ln>
                  </pic:spPr>
                </pic:pic>
              </a:graphicData>
            </a:graphic>
          </wp:anchor>
        </w:drawing>
      </w:r>
    </w:p>
    <w:p>
      <w:pPr>
        <w:spacing w:line="400" w:lineRule="exact"/>
        <w:ind w:firstLine="843" w:firstLineChars="400"/>
        <w:rPr>
          <w:rFonts w:hint="default"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2020.4.20</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widowControl/>
        <w:jc w:val="left"/>
        <w:rPr>
          <w:rFonts w:eastAsia="隶书"/>
          <w:color w:val="000000"/>
          <w:szCs w:val="21"/>
        </w:rPr>
      </w:pP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w:t>
      </w:r>
      <w:bookmarkStart w:id="20" w:name="_GoBack"/>
      <w:bookmarkEnd w:id="20"/>
      <w:r>
        <w:rPr>
          <w:rFonts w:hint="eastAsia" w:eastAsia="隶书"/>
          <w:color w:val="000000"/>
          <w:sz w:val="32"/>
          <w:szCs w:val="32"/>
        </w:rPr>
        <w:t>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8" o:spid="_x0000_s1028" o:spt="20" style="position:absolute;left:0pt;flip:y;margin-left:28pt;margin-top:14.6pt;height:295.05pt;width:447.3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FA15AC"/>
    <w:rsid w:val="41611347"/>
    <w:rsid w:val="58D84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locked/>
    <w:uiPriority w:val="22"/>
    <w:rPr>
      <w:b/>
      <w:bCs/>
    </w:rPr>
  </w:style>
  <w:style w:type="character" w:customStyle="1" w:styleId="10">
    <w:name w:val="批注框文本 字符"/>
    <w:link w:val="2"/>
    <w:semiHidden/>
    <w:locked/>
    <w:uiPriority w:val="99"/>
    <w:rPr>
      <w:rFonts w:ascii="Times New Roman" w:hAnsi="Times New Roman" w:eastAsia="宋体" w:cs="Times New Roman"/>
      <w:sz w:val="18"/>
      <w:szCs w:val="18"/>
    </w:rPr>
  </w:style>
  <w:style w:type="character" w:customStyle="1" w:styleId="11">
    <w:name w:val="页脚 字符"/>
    <w:link w:val="3"/>
    <w:locked/>
    <w:uiPriority w:val="99"/>
    <w:rPr>
      <w:rFonts w:ascii="Times New Roman" w:hAnsi="Times New Roman" w:eastAsia="宋体" w:cs="Times New Roman"/>
      <w:sz w:val="18"/>
      <w:szCs w:val="18"/>
    </w:rPr>
  </w:style>
  <w:style w:type="character" w:customStyle="1" w:styleId="12">
    <w:name w:val="页眉 字符"/>
    <w:link w:val="4"/>
    <w:locked/>
    <w:uiPriority w:val="99"/>
    <w:rPr>
      <w:rFonts w:ascii="Calibri" w:hAnsi="Calibri" w:eastAsia="宋体" w:cs="Times New Roman"/>
      <w:sz w:val="18"/>
      <w:szCs w:val="18"/>
    </w:rPr>
  </w:style>
  <w:style w:type="character" w:customStyle="1" w:styleId="13">
    <w:name w:val="副标题 字符"/>
    <w:link w:val="5"/>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2020-04-28T10:43:46Z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