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聂希、邓晟</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cs="楷体"/>
                <w:sz w:val="24"/>
                <w:lang w:eastAsia="zh-CN"/>
              </w:rPr>
              <w:t>熊柳思</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2020.3.31</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rPr>
                <w:rFonts w:ascii="楷体" w:hAnsi="楷体" w:eastAsia="楷体" w:cs="Arial"/>
                <w:spacing w:val="-6"/>
                <w:szCs w:val="21"/>
              </w:rPr>
            </w:pPr>
            <w:r>
              <w:rPr>
                <w:rFonts w:hint="eastAsia" w:ascii="楷体" w:hAnsi="楷体" w:eastAsia="楷体"/>
                <w:szCs w:val="21"/>
              </w:rPr>
              <w:t>审核条款：</w:t>
            </w:r>
            <w:r>
              <w:rPr>
                <w:rFonts w:ascii="楷体" w:hAnsi="楷体" w:eastAsia="楷体" w:cs="Arial"/>
                <w:spacing w:val="-6"/>
                <w:szCs w:val="21"/>
              </w:rPr>
              <w:t>QEO:4.1</w:t>
            </w:r>
            <w:r>
              <w:rPr>
                <w:rFonts w:hint="eastAsia" w:ascii="楷体" w:hAnsi="楷体" w:eastAsia="楷体" w:cs="Arial"/>
                <w:spacing w:val="-6"/>
                <w:szCs w:val="21"/>
              </w:rPr>
              <w:t>理解组织及其环境、</w:t>
            </w:r>
            <w:r>
              <w:rPr>
                <w:rFonts w:ascii="楷体" w:hAnsi="楷体" w:eastAsia="楷体" w:cs="Arial"/>
                <w:spacing w:val="-6"/>
                <w:szCs w:val="21"/>
              </w:rPr>
              <w:t>4.2</w:t>
            </w:r>
            <w:r>
              <w:rPr>
                <w:rFonts w:hint="eastAsia" w:ascii="楷体" w:hAnsi="楷体" w:eastAsia="楷体" w:cs="Arial"/>
                <w:spacing w:val="-6"/>
                <w:szCs w:val="21"/>
              </w:rPr>
              <w:t>理解相关方的需求和期望、</w:t>
            </w:r>
            <w:r>
              <w:rPr>
                <w:rFonts w:ascii="楷体" w:hAnsi="楷体" w:eastAsia="楷体" w:cs="Arial"/>
                <w:spacing w:val="-6"/>
                <w:szCs w:val="21"/>
              </w:rPr>
              <w:t xml:space="preserve">4.3 </w:t>
            </w:r>
            <w:r>
              <w:rPr>
                <w:rFonts w:hint="eastAsia" w:ascii="楷体" w:hAnsi="楷体" w:eastAsia="楷体" w:cs="Arial"/>
                <w:spacing w:val="-6"/>
                <w:szCs w:val="21"/>
              </w:rPr>
              <w:t>确定管理体系的范围、</w:t>
            </w:r>
            <w:r>
              <w:rPr>
                <w:rFonts w:ascii="楷体" w:hAnsi="楷体" w:eastAsia="楷体" w:cs="Arial"/>
                <w:spacing w:val="-6"/>
                <w:szCs w:val="21"/>
              </w:rPr>
              <w:t>4.4</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安全管理体系及其过程、</w:t>
            </w:r>
            <w:r>
              <w:rPr>
                <w:rFonts w:ascii="楷体" w:hAnsi="楷体" w:eastAsia="楷体" w:cs="Arial"/>
                <w:spacing w:val="-6"/>
                <w:szCs w:val="21"/>
              </w:rPr>
              <w:t>5.1</w:t>
            </w:r>
            <w:r>
              <w:rPr>
                <w:rFonts w:hint="eastAsia" w:ascii="楷体" w:hAnsi="楷体" w:eastAsia="楷体" w:cs="Arial"/>
                <w:spacing w:val="-6"/>
                <w:szCs w:val="21"/>
              </w:rPr>
              <w:t>领导作用和承诺、</w:t>
            </w:r>
            <w:r>
              <w:rPr>
                <w:rFonts w:ascii="楷体" w:hAnsi="楷体" w:eastAsia="楷体" w:cs="Arial"/>
                <w:spacing w:val="-6"/>
                <w:szCs w:val="21"/>
              </w:rPr>
              <w:t>5.2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安全方针、</w:t>
            </w:r>
            <w:r>
              <w:rPr>
                <w:rFonts w:ascii="楷体" w:hAnsi="楷体" w:eastAsia="楷体" w:cs="Arial"/>
                <w:spacing w:val="-6"/>
                <w:szCs w:val="21"/>
              </w:rPr>
              <w:t>5.3</w:t>
            </w:r>
            <w:r>
              <w:rPr>
                <w:rFonts w:hint="eastAsia" w:ascii="楷体" w:hAnsi="楷体" w:eastAsia="楷体" w:cs="Arial"/>
                <w:spacing w:val="-6"/>
                <w:szCs w:val="21"/>
              </w:rPr>
              <w:t>组织的岗位、职责和权限、</w:t>
            </w:r>
            <w:r>
              <w:rPr>
                <w:rFonts w:ascii="楷体" w:hAnsi="楷体" w:eastAsia="楷体" w:cs="Arial"/>
                <w:spacing w:val="-6"/>
                <w:szCs w:val="21"/>
              </w:rPr>
              <w:t>O5.4</w:t>
            </w:r>
            <w:r>
              <w:rPr>
                <w:rFonts w:hint="eastAsia" w:ascii="楷体" w:hAnsi="楷体" w:eastAsia="楷体" w:cs="Arial"/>
                <w:spacing w:val="-6"/>
                <w:szCs w:val="21"/>
              </w:rPr>
              <w:t>协商与参与、</w:t>
            </w:r>
            <w:r>
              <w:rPr>
                <w:rFonts w:ascii="楷体" w:hAnsi="楷体" w:eastAsia="楷体" w:cs="Arial"/>
                <w:spacing w:val="-6"/>
                <w:szCs w:val="21"/>
              </w:rPr>
              <w:t>6.1</w:t>
            </w:r>
            <w:r>
              <w:rPr>
                <w:rFonts w:hint="eastAsia" w:ascii="楷体" w:hAnsi="楷体" w:eastAsia="楷体" w:cs="Arial"/>
                <w:spacing w:val="-6"/>
                <w:szCs w:val="21"/>
              </w:rPr>
              <w:t>应对风险和机遇的措施、</w:t>
            </w:r>
            <w:r>
              <w:rPr>
                <w:rFonts w:ascii="楷体" w:hAnsi="楷体" w:eastAsia="楷体" w:cs="Arial"/>
                <w:spacing w:val="-6"/>
                <w:szCs w:val="21"/>
              </w:rPr>
              <w:t>6.2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安全目标及其实现的策划、</w:t>
            </w:r>
            <w:r>
              <w:rPr>
                <w:rFonts w:ascii="楷体" w:hAnsi="楷体" w:eastAsia="楷体" w:cs="Arial"/>
                <w:spacing w:val="-6"/>
                <w:szCs w:val="21"/>
              </w:rPr>
              <w:t>Q6.3</w:t>
            </w:r>
            <w:r>
              <w:rPr>
                <w:rFonts w:hint="eastAsia" w:ascii="楷体" w:hAnsi="楷体" w:eastAsia="楷体" w:cs="Arial"/>
                <w:spacing w:val="-6"/>
                <w:szCs w:val="21"/>
              </w:rPr>
              <w:t>变更的策划、</w:t>
            </w:r>
            <w:r>
              <w:rPr>
                <w:rFonts w:ascii="楷体" w:hAnsi="楷体" w:eastAsia="楷体" w:cs="Arial"/>
                <w:spacing w:val="-6"/>
                <w:szCs w:val="21"/>
              </w:rPr>
              <w:t>7.1.1</w:t>
            </w:r>
            <w:r>
              <w:rPr>
                <w:rFonts w:hint="eastAsia" w:ascii="楷体" w:hAnsi="楷体" w:eastAsia="楷体" w:cs="Arial"/>
                <w:spacing w:val="-6"/>
                <w:szCs w:val="21"/>
              </w:rPr>
              <w:t>（</w:t>
            </w:r>
            <w:r>
              <w:rPr>
                <w:rFonts w:ascii="楷体" w:hAnsi="楷体" w:eastAsia="楷体" w:cs="Arial"/>
                <w:spacing w:val="-6"/>
                <w:szCs w:val="21"/>
              </w:rPr>
              <w:t>EO7.1</w:t>
            </w:r>
            <w:r>
              <w:rPr>
                <w:rFonts w:hint="eastAsia" w:ascii="楷体" w:hAnsi="楷体" w:eastAsia="楷体" w:cs="Arial"/>
                <w:spacing w:val="-6"/>
                <w:szCs w:val="21"/>
              </w:rPr>
              <w:t>）资源总则、</w:t>
            </w:r>
            <w:r>
              <w:rPr>
                <w:rFonts w:ascii="楷体" w:hAnsi="楷体" w:eastAsia="楷体" w:cs="Arial"/>
                <w:spacing w:val="-6"/>
                <w:szCs w:val="21"/>
              </w:rPr>
              <w:t>7.4</w:t>
            </w:r>
            <w:r>
              <w:rPr>
                <w:rFonts w:hint="eastAsia" w:ascii="楷体" w:hAnsi="楷体" w:eastAsia="楷体" w:cs="Arial"/>
                <w:spacing w:val="-6"/>
                <w:szCs w:val="21"/>
              </w:rPr>
              <w:t>沟通</w:t>
            </w:r>
            <w:r>
              <w:rPr>
                <w:rFonts w:ascii="楷体" w:hAnsi="楷体" w:eastAsia="楷体" w:cs="Arial"/>
                <w:spacing w:val="-6"/>
                <w:szCs w:val="21"/>
              </w:rPr>
              <w:t>/</w:t>
            </w:r>
            <w:r>
              <w:rPr>
                <w:rFonts w:hint="eastAsia" w:ascii="楷体" w:hAnsi="楷体" w:eastAsia="楷体" w:cs="Arial"/>
                <w:spacing w:val="-6"/>
                <w:szCs w:val="21"/>
              </w:rPr>
              <w:t>信息交流、</w:t>
            </w:r>
            <w:r>
              <w:rPr>
                <w:rFonts w:ascii="楷体" w:hAnsi="楷体" w:eastAsia="楷体" w:cs="Arial"/>
                <w:spacing w:val="-6"/>
                <w:szCs w:val="21"/>
              </w:rPr>
              <w:t>9.3</w:t>
            </w:r>
            <w:r>
              <w:rPr>
                <w:rFonts w:hint="eastAsia" w:ascii="楷体" w:hAnsi="楷体" w:eastAsia="楷体" w:cs="Arial"/>
                <w:spacing w:val="-6"/>
                <w:szCs w:val="21"/>
              </w:rPr>
              <w:t>管理评审、</w:t>
            </w:r>
            <w:r>
              <w:rPr>
                <w:rFonts w:ascii="楷体" w:hAnsi="楷体" w:eastAsia="楷体" w:cs="Arial"/>
                <w:spacing w:val="-6"/>
                <w:szCs w:val="21"/>
              </w:rPr>
              <w:t>10.1</w:t>
            </w:r>
            <w:r>
              <w:rPr>
                <w:rFonts w:hint="eastAsia" w:ascii="楷体" w:hAnsi="楷体" w:eastAsia="楷体" w:cs="Arial"/>
                <w:spacing w:val="-6"/>
                <w:szCs w:val="21"/>
              </w:rPr>
              <w:t>改进、</w:t>
            </w:r>
            <w:r>
              <w:rPr>
                <w:rFonts w:ascii="楷体" w:hAnsi="楷体" w:eastAsia="楷体" w:cs="Arial"/>
                <w:spacing w:val="-6"/>
                <w:szCs w:val="21"/>
              </w:rPr>
              <w:t>10.3</w:t>
            </w:r>
            <w:r>
              <w:rPr>
                <w:rFonts w:hint="eastAsia" w:ascii="楷体" w:hAnsi="楷体" w:eastAsia="楷体" w:cs="Arial"/>
                <w:spacing w:val="-6"/>
                <w:szCs w:val="21"/>
              </w:rPr>
              <w:t>持续改进，国家</w:t>
            </w:r>
            <w:r>
              <w:rPr>
                <w:rFonts w:ascii="楷体" w:hAnsi="楷体" w:eastAsia="楷体" w:cs="Arial"/>
                <w:spacing w:val="-6"/>
                <w:szCs w:val="21"/>
              </w:rPr>
              <w:t>/</w:t>
            </w:r>
            <w:r>
              <w:rPr>
                <w:rFonts w:hint="eastAsia" w:ascii="楷体" w:hAnsi="楷体" w:eastAsia="楷体" w:cs="Arial"/>
                <w:spacing w:val="-6"/>
                <w:szCs w:val="21"/>
              </w:rPr>
              <w:t>地方监督抽查情况；顾客满意、相关方投诉及处理情况；</w:t>
            </w:r>
          </w:p>
          <w:p>
            <w:pPr>
              <w:rPr>
                <w:rFonts w:ascii="楷体" w:hAnsi="楷体" w:eastAsia="楷体"/>
                <w:szCs w:val="21"/>
              </w:rPr>
            </w:pPr>
            <w:r>
              <w:rPr>
                <w:rFonts w:hint="eastAsia" w:ascii="楷体" w:hAnsi="楷体" w:eastAsia="楷体" w:cs="Arial"/>
                <w:spacing w:val="-6"/>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聂希，</w:t>
            </w:r>
            <w:r>
              <w:rPr>
                <w:rFonts w:hint="eastAsia" w:ascii="楷体" w:hAnsi="楷体" w:eastAsia="楷体"/>
                <w:sz w:val="24"/>
                <w:szCs w:val="24"/>
              </w:rPr>
              <w:t>管代</w:t>
            </w:r>
            <w:r>
              <w:rPr>
                <w:rFonts w:hint="eastAsia" w:ascii="楷体" w:hAnsi="楷体" w:eastAsia="楷体"/>
                <w:sz w:val="24"/>
                <w:szCs w:val="24"/>
                <w:lang w:val="en-US" w:eastAsia="zh-CN"/>
              </w:rPr>
              <w:t>邓晟</w:t>
            </w:r>
            <w:r>
              <w:rPr>
                <w:rFonts w:hint="eastAsia" w:ascii="楷体" w:hAnsi="楷体" w:eastAsia="楷体"/>
                <w:sz w:val="24"/>
                <w:szCs w:val="24"/>
              </w:rPr>
              <w:t xml:space="preserve"> ，</w:t>
            </w:r>
          </w:p>
          <w:p>
            <w:pPr>
              <w:spacing w:line="360" w:lineRule="auto"/>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14</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4日，法人代表</w:t>
            </w:r>
            <w:r>
              <w:rPr>
                <w:rFonts w:hint="eastAsia" w:ascii="楷体" w:hAnsi="楷体" w:eastAsia="楷体"/>
                <w:sz w:val="24"/>
                <w:szCs w:val="24"/>
                <w:lang w:val="en-US" w:eastAsia="zh-CN"/>
              </w:rPr>
              <w:t>聂希</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江西省樟树市城北（张家山）工业园1号路</w:t>
            </w:r>
            <w:bookmarkEnd w:id="0"/>
            <w:r>
              <w:rPr>
                <w:rFonts w:hint="eastAsia" w:ascii="楷体" w:hAnsi="楷体" w:eastAsia="楷体" w:cs="楷体"/>
                <w:color w:val="000000"/>
                <w:sz w:val="24"/>
                <w:szCs w:val="24"/>
              </w:rPr>
              <w:t>。</w:t>
            </w:r>
            <w:r>
              <w:rPr>
                <w:rFonts w:hint="eastAsia" w:ascii="楷体" w:hAnsi="楷体" w:eastAsia="楷体"/>
                <w:spacing w:val="20"/>
                <w:sz w:val="24"/>
                <w:szCs w:val="24"/>
                <w:lang w:val="de-DE"/>
              </w:rPr>
              <w:t>经营范围</w:t>
            </w:r>
            <w:r>
              <w:rPr>
                <w:rFonts w:hint="eastAsia" w:ascii="楷体" w:hAnsi="楷体" w:eastAsia="楷体" w:cs="楷体"/>
                <w:sz w:val="24"/>
                <w:szCs w:val="24"/>
              </w:rPr>
              <w:t>城市公共交通亭（棚）、公共自行车亭（棚）、广告棚的生产</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邓晟</w:t>
            </w:r>
            <w:r>
              <w:rPr>
                <w:rFonts w:hint="eastAsia" w:ascii="楷体" w:hAnsi="楷体" w:eastAsia="楷体"/>
                <w:sz w:val="24"/>
                <w:szCs w:val="24"/>
              </w:rPr>
              <w:t>介绍，公司管理体系运行已满6个多月。对部门及其职责进行了规定，设有行政部、采购部、销售部、生产部</w:t>
            </w:r>
            <w:r>
              <w:rPr>
                <w:rFonts w:hint="eastAsia" w:ascii="楷体" w:hAnsi="楷体" w:eastAsia="楷体"/>
                <w:sz w:val="24"/>
                <w:szCs w:val="24"/>
                <w:lang w:eastAsia="zh-CN"/>
              </w:rPr>
              <w:t>、</w:t>
            </w:r>
            <w:r>
              <w:rPr>
                <w:rFonts w:hint="eastAsia" w:ascii="楷体" w:hAnsi="楷体" w:eastAsia="楷体"/>
                <w:sz w:val="24"/>
                <w:szCs w:val="24"/>
                <w:lang w:val="en-US" w:eastAsia="zh-CN"/>
              </w:rPr>
              <w:t>品质部、财务部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聂希</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月开始运行三体系，组织了内审员培训，识别了生产的过程及其相互关系，企业提</w:t>
            </w:r>
            <w:r>
              <w:rPr>
                <w:rFonts w:hint="eastAsia" w:ascii="楷体" w:hAnsi="楷体" w:eastAsia="楷体"/>
                <w:sz w:val="24"/>
                <w:szCs w:val="24"/>
                <w:lang w:val="en-US" w:eastAsia="zh-CN"/>
              </w:rPr>
              <w:t>供</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实施；总经理</w:t>
            </w:r>
            <w:r>
              <w:rPr>
                <w:rFonts w:hint="eastAsia" w:ascii="楷体" w:hAnsi="楷体" w:eastAsia="楷体"/>
                <w:sz w:val="24"/>
                <w:szCs w:val="24"/>
                <w:lang w:val="en-US" w:eastAsia="zh-CN"/>
              </w:rPr>
              <w:t>聂希</w:t>
            </w:r>
            <w:r>
              <w:rPr>
                <w:rFonts w:hint="eastAsia" w:ascii="楷体" w:hAnsi="楷体" w:eastAsia="楷体"/>
                <w:sz w:val="24"/>
                <w:szCs w:val="24"/>
              </w:rPr>
              <w:t>批准。任命管代：</w:t>
            </w:r>
            <w:r>
              <w:rPr>
                <w:rFonts w:hint="eastAsia" w:ascii="楷体" w:hAnsi="楷体" w:eastAsia="楷体"/>
                <w:sz w:val="24"/>
                <w:szCs w:val="24"/>
                <w:lang w:val="en-US" w:eastAsia="zh-CN"/>
              </w:rPr>
              <w:t>邓晟</w:t>
            </w:r>
            <w:r>
              <w:rPr>
                <w:rFonts w:hint="eastAsia" w:ascii="楷体" w:hAnsi="楷体" w:eastAsia="楷体"/>
                <w:sz w:val="24"/>
                <w:szCs w:val="24"/>
              </w:rPr>
              <w:t>；职业健康安全事务代表：</w:t>
            </w:r>
            <w:r>
              <w:rPr>
                <w:rFonts w:hint="eastAsia" w:ascii="楷体" w:hAnsi="楷体" w:eastAsia="楷体" w:cs="楷体"/>
                <w:sz w:val="24"/>
                <w:lang w:val="en-US" w:eastAsia="zh-CN"/>
              </w:rPr>
              <w:t>徐爱如</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聂希</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spacing w:line="240" w:lineRule="exact"/>
              <w:rPr>
                <w:rFonts w:hint="eastAsia" w:ascii="楷体" w:hAnsi="楷体" w:eastAsia="楷体" w:cs="楷体"/>
                <w:sz w:val="24"/>
                <w:szCs w:val="24"/>
              </w:rPr>
            </w:pPr>
            <w:bookmarkStart w:id="1" w:name="审核范围"/>
            <w:r>
              <w:rPr>
                <w:rFonts w:hint="eastAsia" w:ascii="楷体" w:hAnsi="楷体" w:eastAsia="楷体" w:cs="楷体"/>
                <w:color w:val="000000"/>
                <w:sz w:val="24"/>
                <w:szCs w:val="24"/>
              </w:rPr>
              <w:t>Q：</w:t>
            </w:r>
            <w:r>
              <w:rPr>
                <w:rFonts w:hint="eastAsia" w:ascii="楷体" w:hAnsi="楷体" w:eastAsia="楷体" w:cs="楷体"/>
                <w:sz w:val="24"/>
                <w:szCs w:val="24"/>
              </w:rPr>
              <w:t>城市公共交通亭（棚）、公共自行车亭（棚）、广告棚的生产</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E：</w:t>
            </w:r>
            <w:r>
              <w:rPr>
                <w:rFonts w:hint="eastAsia" w:ascii="楷体" w:hAnsi="楷体" w:eastAsia="楷体" w:cs="楷体"/>
                <w:sz w:val="24"/>
                <w:szCs w:val="24"/>
              </w:rPr>
              <w:t>城市公共交通亭（棚）、公共自行车亭（棚）、广告棚的生产所涉及的相关</w:t>
            </w:r>
            <w:r>
              <w:rPr>
                <w:rFonts w:hint="eastAsia" w:ascii="楷体" w:hAnsi="楷体" w:eastAsia="楷体" w:cs="楷体"/>
                <w:sz w:val="24"/>
                <w:szCs w:val="24"/>
                <w:lang w:val="en-US" w:eastAsia="zh-CN"/>
              </w:rPr>
              <w:t>环境</w:t>
            </w:r>
            <w:r>
              <w:rPr>
                <w:rFonts w:hint="eastAsia" w:ascii="楷体" w:hAnsi="楷体" w:eastAsia="楷体" w:cs="楷体"/>
                <w:sz w:val="24"/>
                <w:szCs w:val="24"/>
              </w:rPr>
              <w:t>管理活动</w:t>
            </w:r>
            <w:r>
              <w:rPr>
                <w:rFonts w:hint="eastAsia" w:ascii="楷体" w:hAnsi="楷体" w:eastAsia="楷体" w:cs="楷体"/>
                <w:color w:val="000000"/>
                <w:sz w:val="24"/>
                <w:szCs w:val="24"/>
              </w:rPr>
              <w:t>；</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O：</w:t>
            </w:r>
            <w:bookmarkEnd w:id="1"/>
            <w:r>
              <w:rPr>
                <w:rFonts w:hint="eastAsia" w:ascii="楷体" w:hAnsi="楷体" w:eastAsia="楷体" w:cs="楷体"/>
                <w:sz w:val="24"/>
                <w:szCs w:val="24"/>
              </w:rPr>
              <w:t>城市公共交通亭（棚）、公共自行车亭（棚）、广告棚的生产所涉及的相关职业健康安全管理活动</w:t>
            </w:r>
            <w:r>
              <w:rPr>
                <w:rFonts w:hint="eastAsia" w:ascii="楷体" w:hAnsi="楷体" w:eastAsia="楷体" w:cs="楷体"/>
                <w:color w:val="000000"/>
                <w:sz w:val="24"/>
                <w:szCs w:val="24"/>
              </w:rPr>
              <w:t>；</w:t>
            </w:r>
          </w:p>
          <w:p>
            <w:pPr>
              <w:spacing w:line="360" w:lineRule="auto"/>
              <w:rPr>
                <w:rFonts w:hint="default" w:ascii="楷体" w:hAnsi="楷体" w:eastAsia="楷体" w:cs="楷体"/>
                <w:color w:val="FF0000"/>
                <w:sz w:val="24"/>
                <w:szCs w:val="24"/>
                <w:lang w:val="en-US" w:eastAsia="zh-CN"/>
              </w:rPr>
            </w:pPr>
            <w:r>
              <w:rPr>
                <w:rFonts w:hint="eastAsia" w:ascii="楷体" w:hAnsi="楷体" w:eastAsia="楷体" w:cs="楷体"/>
                <w:color w:val="auto"/>
                <w:sz w:val="24"/>
                <w:szCs w:val="24"/>
                <w:lang w:val="en-US" w:eastAsia="zh-CN"/>
              </w:rPr>
              <w:t>体系自运行以来范围没有变化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 xml:space="preserve">质量至上、持续创新、诚实守信、顾客至上 </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预防为主，降低风险；遵章守法，创造和谐</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聂希，管代邓晟</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00" w:lineRule="exact"/>
              <w:ind w:left="862"/>
              <w:rPr>
                <w:rFonts w:hint="eastAsia" w:ascii="楷体" w:hAnsi="楷体" w:eastAsia="楷体" w:cs="楷体"/>
                <w:b/>
                <w:bCs/>
                <w:color w:val="auto"/>
                <w:spacing w:val="20"/>
                <w:sz w:val="24"/>
                <w:szCs w:val="24"/>
              </w:rPr>
            </w:pPr>
            <w:r>
              <w:rPr>
                <w:rFonts w:hint="eastAsia" w:ascii="楷体" w:hAnsi="楷体" w:eastAsia="楷体" w:cs="楷体"/>
                <w:b/>
                <w:bCs/>
                <w:color w:val="auto"/>
                <w:spacing w:val="20"/>
                <w:sz w:val="24"/>
                <w:szCs w:val="24"/>
              </w:rPr>
              <w:t>质量目标：</w:t>
            </w:r>
          </w:p>
          <w:p>
            <w:pPr>
              <w:spacing w:line="400" w:lineRule="exact"/>
              <w:ind w:firstLine="560" w:firstLineChars="200"/>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产品出厂合格率100%；</w:t>
            </w:r>
          </w:p>
          <w:p>
            <w:pPr>
              <w:spacing w:line="400" w:lineRule="exact"/>
              <w:ind w:firstLine="560" w:firstLineChars="200"/>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顾客满意度≥9</w:t>
            </w:r>
            <w:r>
              <w:rPr>
                <w:rFonts w:hint="eastAsia" w:ascii="楷体" w:hAnsi="楷体" w:eastAsia="楷体" w:cs="楷体"/>
                <w:color w:val="auto"/>
                <w:spacing w:val="20"/>
                <w:sz w:val="24"/>
                <w:szCs w:val="24"/>
                <w:lang w:val="en-US" w:eastAsia="zh-CN"/>
              </w:rPr>
              <w:t>4</w:t>
            </w:r>
            <w:r>
              <w:rPr>
                <w:rFonts w:hint="eastAsia" w:ascii="楷体" w:hAnsi="楷体" w:eastAsia="楷体" w:cs="楷体"/>
                <w:color w:val="auto"/>
                <w:spacing w:val="20"/>
                <w:sz w:val="24"/>
                <w:szCs w:val="24"/>
              </w:rPr>
              <w:t>分 ；</w:t>
            </w:r>
          </w:p>
          <w:p>
            <w:pPr>
              <w:spacing w:line="400" w:lineRule="exact"/>
              <w:ind w:left="862"/>
              <w:rPr>
                <w:rFonts w:hint="eastAsia" w:ascii="楷体" w:hAnsi="楷体" w:eastAsia="楷体" w:cs="楷体"/>
                <w:b/>
                <w:bCs/>
                <w:color w:val="auto"/>
                <w:spacing w:val="20"/>
                <w:sz w:val="24"/>
                <w:szCs w:val="24"/>
              </w:rPr>
            </w:pPr>
            <w:r>
              <w:rPr>
                <w:rFonts w:hint="eastAsia" w:ascii="楷体" w:hAnsi="楷体" w:eastAsia="楷体" w:cs="楷体"/>
                <w:b/>
                <w:bCs/>
                <w:color w:val="auto"/>
                <w:spacing w:val="20"/>
                <w:sz w:val="24"/>
                <w:szCs w:val="24"/>
              </w:rPr>
              <w:t>环保安全目标：</w:t>
            </w:r>
          </w:p>
          <w:p>
            <w:pPr>
              <w:spacing w:after="0" w:line="500" w:lineRule="exact"/>
              <w:ind w:firstLine="480" w:firstLineChars="200"/>
              <w:rPr>
                <w:rFonts w:hint="eastAsia" w:ascii="楷体" w:hAnsi="楷体" w:eastAsia="楷体" w:cs="楷体"/>
                <w:sz w:val="24"/>
                <w:szCs w:val="24"/>
              </w:rPr>
            </w:pPr>
            <w:r>
              <w:rPr>
                <w:rFonts w:hint="eastAsia" w:ascii="楷体" w:hAnsi="楷体" w:eastAsia="楷体" w:cs="楷体"/>
                <w:color w:val="000000"/>
                <w:sz w:val="24"/>
                <w:szCs w:val="24"/>
              </w:rPr>
              <w:t>固体废弃物分类处置率100%</w:t>
            </w:r>
            <w:r>
              <w:rPr>
                <w:rFonts w:hint="eastAsia" w:ascii="楷体" w:hAnsi="楷体" w:eastAsia="楷体" w:cs="楷体"/>
                <w:sz w:val="24"/>
                <w:szCs w:val="24"/>
              </w:rPr>
              <w:t>；</w:t>
            </w:r>
          </w:p>
          <w:p>
            <w:pPr>
              <w:spacing w:after="0" w:line="500" w:lineRule="exact"/>
              <w:ind w:firstLine="480" w:firstLineChars="200"/>
              <w:rPr>
                <w:rFonts w:hint="eastAsia" w:ascii="楷体" w:hAnsi="楷体" w:eastAsia="楷体" w:cs="楷体"/>
                <w:color w:val="auto"/>
                <w:sz w:val="24"/>
                <w:szCs w:val="24"/>
              </w:rPr>
            </w:pPr>
            <w:r>
              <w:rPr>
                <w:rFonts w:hint="eastAsia" w:ascii="楷体" w:hAnsi="楷体" w:eastAsia="楷体" w:cs="楷体"/>
                <w:sz w:val="24"/>
                <w:szCs w:val="24"/>
              </w:rPr>
              <w:t>火灾事故发生率为0；</w:t>
            </w:r>
          </w:p>
          <w:p>
            <w:pPr>
              <w:spacing w:line="400" w:lineRule="exact"/>
              <w:ind w:firstLine="480" w:firstLineChars="200"/>
              <w:rPr>
                <w:rFonts w:hint="eastAsia" w:ascii="楷体" w:hAnsi="楷体" w:eastAsia="楷体" w:cs="楷体"/>
                <w:color w:val="auto"/>
                <w:spacing w:val="20"/>
                <w:sz w:val="24"/>
                <w:szCs w:val="24"/>
              </w:rPr>
            </w:pPr>
            <w:r>
              <w:rPr>
                <w:rFonts w:hint="eastAsia" w:ascii="楷体" w:hAnsi="楷体" w:eastAsia="楷体" w:cs="楷体"/>
                <w:color w:val="auto"/>
                <w:sz w:val="24"/>
                <w:szCs w:val="24"/>
              </w:rPr>
              <w:t xml:space="preserve"> 职业病发生率为0；</w:t>
            </w:r>
          </w:p>
          <w:p>
            <w:pPr>
              <w:spacing w:line="400" w:lineRule="exact"/>
              <w:ind w:firstLine="480" w:firstLineChars="200"/>
              <w:rPr>
                <w:rFonts w:hint="eastAsia" w:ascii="楷体" w:hAnsi="楷体" w:eastAsia="楷体" w:cs="楷体"/>
                <w:color w:val="auto"/>
                <w:spacing w:val="20"/>
                <w:sz w:val="24"/>
                <w:szCs w:val="24"/>
              </w:rPr>
            </w:pPr>
            <w:r>
              <w:rPr>
                <w:rFonts w:hint="eastAsia" w:ascii="楷体" w:hAnsi="楷体" w:eastAsia="楷体" w:cs="楷体"/>
                <w:color w:val="auto"/>
                <w:sz w:val="24"/>
                <w:szCs w:val="24"/>
              </w:rPr>
              <w:t xml:space="preserve"> 员工重大伤亡率为0； </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职业健康安全目标分解考核表》，2019.</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5</w:t>
            </w:r>
            <w:r>
              <w:rPr>
                <w:rFonts w:hint="eastAsia" w:ascii="楷体" w:hAnsi="楷体" w:eastAsia="楷体"/>
                <w:color w:val="000000"/>
                <w:sz w:val="24"/>
                <w:szCs w:val="24"/>
              </w:rPr>
              <w:t>日完成情况：</w:t>
            </w:r>
          </w:p>
          <w:p>
            <w:pPr>
              <w:spacing w:line="220" w:lineRule="atLeast"/>
              <w:ind w:firstLine="3780" w:firstLineChars="2100"/>
              <w:jc w:val="both"/>
              <w:rPr>
                <w:sz w:val="18"/>
                <w:szCs w:val="18"/>
              </w:rPr>
            </w:pPr>
            <w:r>
              <w:rPr>
                <w:sz w:val="18"/>
                <w:szCs w:val="18"/>
              </w:rPr>
              <w:t>目标分解考核表</w:t>
            </w:r>
          </w:p>
          <w:p>
            <w:pPr>
              <w:spacing w:line="220" w:lineRule="atLeast"/>
              <w:jc w:val="center"/>
              <w:rPr>
                <w:rFonts w:hint="default" w:eastAsia="微软雅黑"/>
                <w:sz w:val="18"/>
                <w:szCs w:val="18"/>
                <w:lang w:val="en-US" w:eastAsia="zh-CN"/>
              </w:rPr>
            </w:pPr>
            <w:r>
              <w:rPr>
                <w:rFonts w:hint="eastAsia"/>
                <w:sz w:val="18"/>
                <w:szCs w:val="18"/>
              </w:rPr>
              <w:t>时间：</w:t>
            </w:r>
            <w:r>
              <w:rPr>
                <w:rFonts w:hint="eastAsia"/>
                <w:sz w:val="18"/>
                <w:szCs w:val="18"/>
                <w:lang w:eastAsia="zh-CN"/>
              </w:rPr>
              <w:t>20</w:t>
            </w:r>
            <w:r>
              <w:rPr>
                <w:rFonts w:hint="eastAsia"/>
                <w:sz w:val="18"/>
                <w:szCs w:val="18"/>
                <w:lang w:val="en-US" w:eastAsia="zh-CN"/>
              </w:rPr>
              <w:t>20.3.31</w:t>
            </w:r>
          </w:p>
          <w:tbl>
            <w:tblPr>
              <w:tblStyle w:val="6"/>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200"/>
              <w:gridCol w:w="2550"/>
              <w:gridCol w:w="2321"/>
              <w:gridCol w:w="116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spacing w:after="0" w:line="220" w:lineRule="atLeast"/>
                    <w:jc w:val="center"/>
                    <w:rPr>
                      <w:sz w:val="18"/>
                      <w:szCs w:val="18"/>
                    </w:rPr>
                  </w:pPr>
                  <w:r>
                    <w:rPr>
                      <w:sz w:val="18"/>
                      <w:szCs w:val="18"/>
                    </w:rPr>
                    <w:t>部门</w:t>
                  </w:r>
                </w:p>
              </w:tc>
              <w:tc>
                <w:tcPr>
                  <w:tcW w:w="2200" w:type="dxa"/>
                </w:tcPr>
                <w:p>
                  <w:pPr>
                    <w:spacing w:after="0" w:line="220" w:lineRule="atLeast"/>
                    <w:jc w:val="center"/>
                    <w:rPr>
                      <w:sz w:val="18"/>
                      <w:szCs w:val="18"/>
                    </w:rPr>
                  </w:pPr>
                  <w:r>
                    <w:rPr>
                      <w:sz w:val="18"/>
                      <w:szCs w:val="18"/>
                    </w:rPr>
                    <w:t>目标</w:t>
                  </w:r>
                </w:p>
              </w:tc>
              <w:tc>
                <w:tcPr>
                  <w:tcW w:w="2550" w:type="dxa"/>
                </w:tcPr>
                <w:p>
                  <w:pPr>
                    <w:spacing w:after="0" w:line="220" w:lineRule="atLeast"/>
                    <w:jc w:val="center"/>
                    <w:rPr>
                      <w:sz w:val="18"/>
                      <w:szCs w:val="18"/>
                    </w:rPr>
                  </w:pPr>
                  <w:r>
                    <w:rPr>
                      <w:sz w:val="18"/>
                      <w:szCs w:val="18"/>
                    </w:rPr>
                    <w:t>考核方式</w:t>
                  </w:r>
                </w:p>
              </w:tc>
              <w:tc>
                <w:tcPr>
                  <w:tcW w:w="2321" w:type="dxa"/>
                </w:tcPr>
                <w:p>
                  <w:pPr>
                    <w:spacing w:after="0" w:line="220" w:lineRule="atLeast"/>
                    <w:jc w:val="center"/>
                    <w:rPr>
                      <w:sz w:val="18"/>
                      <w:szCs w:val="18"/>
                    </w:rPr>
                  </w:pPr>
                  <w:r>
                    <w:rPr>
                      <w:sz w:val="18"/>
                      <w:szCs w:val="18"/>
                    </w:rPr>
                    <w:t>考核结果</w:t>
                  </w:r>
                </w:p>
              </w:tc>
              <w:tc>
                <w:tcPr>
                  <w:tcW w:w="1160" w:type="dxa"/>
                </w:tcPr>
                <w:p>
                  <w:pPr>
                    <w:spacing w:after="0" w:line="220" w:lineRule="atLeast"/>
                    <w:jc w:val="center"/>
                    <w:rPr>
                      <w:sz w:val="18"/>
                      <w:szCs w:val="18"/>
                    </w:rPr>
                  </w:pPr>
                  <w:r>
                    <w:rPr>
                      <w:sz w:val="18"/>
                      <w:szCs w:val="18"/>
                    </w:rPr>
                    <w:t>完成情况</w:t>
                  </w:r>
                </w:p>
              </w:tc>
              <w:tc>
                <w:tcPr>
                  <w:tcW w:w="1459" w:type="dxa"/>
                </w:tcPr>
                <w:p>
                  <w:pPr>
                    <w:spacing w:after="0" w:line="220" w:lineRule="atLeast"/>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color w:val="auto"/>
                      <w:sz w:val="18"/>
                      <w:szCs w:val="18"/>
                    </w:rPr>
                  </w:pPr>
                  <w:r>
                    <w:rPr>
                      <w:color w:val="auto"/>
                      <w:sz w:val="18"/>
                      <w:szCs w:val="18"/>
                    </w:rPr>
                    <w:t>公司</w:t>
                  </w:r>
                </w:p>
              </w:tc>
              <w:tc>
                <w:tcPr>
                  <w:tcW w:w="2200" w:type="dxa"/>
                </w:tcPr>
                <w:p>
                  <w:pPr>
                    <w:spacing w:after="0"/>
                    <w:rPr>
                      <w:color w:val="auto"/>
                      <w:sz w:val="18"/>
                      <w:szCs w:val="18"/>
                    </w:rPr>
                  </w:pPr>
                  <w:r>
                    <w:rPr>
                      <w:rFonts w:hint="eastAsia" w:ascii="宋体" w:hAnsi="宋体"/>
                      <w:color w:val="auto"/>
                      <w:sz w:val="18"/>
                      <w:szCs w:val="18"/>
                    </w:rPr>
                    <w:t>产品出厂合格率100%</w:t>
                  </w:r>
                </w:p>
              </w:tc>
              <w:tc>
                <w:tcPr>
                  <w:tcW w:w="2550" w:type="dxa"/>
                </w:tcPr>
                <w:p>
                  <w:pPr>
                    <w:spacing w:after="0"/>
                    <w:rPr>
                      <w:rFonts w:eastAsia="宋体"/>
                      <w:sz w:val="18"/>
                      <w:szCs w:val="18"/>
                    </w:rPr>
                  </w:pPr>
                  <w:r>
                    <w:rPr>
                      <w:rFonts w:hint="eastAsia"/>
                      <w:sz w:val="18"/>
                      <w:szCs w:val="18"/>
                    </w:rPr>
                    <w:t>合格数÷总数×</w:t>
                  </w:r>
                  <w:r>
                    <w:rPr>
                      <w:sz w:val="18"/>
                      <w:szCs w:val="18"/>
                    </w:rPr>
                    <w:t>100%</w:t>
                  </w:r>
                </w:p>
              </w:tc>
              <w:tc>
                <w:tcPr>
                  <w:tcW w:w="2321" w:type="dxa"/>
                </w:tcPr>
                <w:p>
                  <w:pPr>
                    <w:spacing w:after="0"/>
                    <w:rPr>
                      <w:sz w:val="18"/>
                      <w:szCs w:val="18"/>
                    </w:rPr>
                  </w:pPr>
                  <w:r>
                    <w:rPr>
                      <w:rFonts w:hint="eastAsia" w:ascii="宋体" w:hAnsi="宋体"/>
                      <w:color w:val="000000"/>
                      <w:sz w:val="18"/>
                      <w:szCs w:val="18"/>
                    </w:rPr>
                    <w:t>产品出厂合格率100%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38" w:type="dxa"/>
                  <w:vMerge w:val="continue"/>
                </w:tcPr>
                <w:p>
                  <w:pPr>
                    <w:spacing w:after="0" w:line="220" w:lineRule="atLeast"/>
                    <w:jc w:val="center"/>
                    <w:rPr>
                      <w:color w:val="auto"/>
                      <w:sz w:val="18"/>
                      <w:szCs w:val="18"/>
                    </w:rPr>
                  </w:pPr>
                </w:p>
              </w:tc>
              <w:tc>
                <w:tcPr>
                  <w:tcW w:w="2200" w:type="dxa"/>
                </w:tcPr>
                <w:p>
                  <w:pPr>
                    <w:spacing w:after="0"/>
                    <w:rPr>
                      <w:rFonts w:hint="eastAsia" w:eastAsia="微软雅黑"/>
                      <w:color w:val="auto"/>
                      <w:sz w:val="18"/>
                      <w:szCs w:val="18"/>
                      <w:lang w:eastAsia="zh-CN"/>
                    </w:rPr>
                  </w:pPr>
                  <w:r>
                    <w:rPr>
                      <w:rFonts w:hint="eastAsia" w:ascii="宋体" w:hAnsi="宋体"/>
                      <w:color w:val="auto"/>
                      <w:sz w:val="18"/>
                      <w:szCs w:val="18"/>
                      <w:lang w:eastAsia="zh-CN"/>
                    </w:rPr>
                    <w:t>顾客满意度94%以上</w:t>
                  </w:r>
                </w:p>
              </w:tc>
              <w:tc>
                <w:tcPr>
                  <w:tcW w:w="2550" w:type="dxa"/>
                </w:tcPr>
                <w:p>
                  <w:pPr>
                    <w:spacing w:after="0"/>
                    <w:rPr>
                      <w:rFonts w:eastAsia="宋体"/>
                      <w:color w:val="auto"/>
                      <w:sz w:val="18"/>
                      <w:szCs w:val="18"/>
                    </w:rPr>
                  </w:pPr>
                  <w:r>
                    <w:rPr>
                      <w:rFonts w:hint="eastAsia"/>
                      <w:color w:val="auto"/>
                      <w:sz w:val="18"/>
                      <w:szCs w:val="18"/>
                    </w:rPr>
                    <w:t>执行顾客满意度调查分析</w:t>
                  </w:r>
                </w:p>
              </w:tc>
              <w:tc>
                <w:tcPr>
                  <w:tcW w:w="2321" w:type="dxa"/>
                </w:tcPr>
                <w:p>
                  <w:pPr>
                    <w:spacing w:after="0"/>
                    <w:rPr>
                      <w:color w:val="auto"/>
                      <w:sz w:val="18"/>
                      <w:szCs w:val="18"/>
                    </w:rPr>
                  </w:pPr>
                  <w:r>
                    <w:rPr>
                      <w:rFonts w:hint="eastAsia" w:ascii="宋体" w:hAnsi="宋体"/>
                      <w:color w:val="auto"/>
                      <w:sz w:val="18"/>
                      <w:szCs w:val="18"/>
                    </w:rPr>
                    <w:t>顾客满意度</w:t>
                  </w:r>
                  <w:r>
                    <w:rPr>
                      <w:rFonts w:hint="eastAsia" w:ascii="宋体" w:hAnsi="宋体"/>
                      <w:color w:val="auto"/>
                      <w:sz w:val="18"/>
                      <w:szCs w:val="18"/>
                      <w:lang w:val="en-US" w:eastAsia="zh-CN"/>
                    </w:rPr>
                    <w:t>98.8</w:t>
                  </w:r>
                  <w:r>
                    <w:rPr>
                      <w:rFonts w:hint="eastAsia"/>
                      <w:color w:val="auto"/>
                      <w:sz w:val="18"/>
                      <w:szCs w:val="18"/>
                    </w:rPr>
                    <w:t>%</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火灾事故为0</w:t>
                  </w:r>
                </w:p>
              </w:tc>
              <w:tc>
                <w:tcPr>
                  <w:tcW w:w="2550" w:type="dxa"/>
                </w:tcPr>
                <w:p>
                  <w:pPr>
                    <w:spacing w:after="0"/>
                    <w:rPr>
                      <w:rFonts w:eastAsia="宋体"/>
                      <w:sz w:val="18"/>
                      <w:szCs w:val="18"/>
                    </w:rPr>
                  </w:pPr>
                  <w:r>
                    <w:rPr>
                      <w:rFonts w:hint="eastAsia"/>
                      <w:sz w:val="18"/>
                      <w:szCs w:val="18"/>
                    </w:rPr>
                    <w:t>查看火灾事故记录</w:t>
                  </w:r>
                </w:p>
              </w:tc>
              <w:tc>
                <w:tcPr>
                  <w:tcW w:w="2321" w:type="dxa"/>
                </w:tcPr>
                <w:p>
                  <w:pPr>
                    <w:spacing w:after="0"/>
                    <w:rPr>
                      <w:sz w:val="18"/>
                      <w:szCs w:val="18"/>
                    </w:rPr>
                  </w:pPr>
                  <w:r>
                    <w:rPr>
                      <w:rFonts w:hint="eastAsia" w:ascii="宋体" w:hAnsi="宋体"/>
                      <w:color w:val="000000"/>
                      <w:sz w:val="18"/>
                      <w:szCs w:val="18"/>
                    </w:rPr>
                    <w:t>火灾事故为0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杜绝重大生产安全事故</w:t>
                  </w:r>
                </w:p>
              </w:tc>
              <w:tc>
                <w:tcPr>
                  <w:tcW w:w="2550" w:type="dxa"/>
                </w:tcPr>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spacing w:after="0"/>
                    <w:rPr>
                      <w:sz w:val="18"/>
                      <w:szCs w:val="18"/>
                    </w:rPr>
                  </w:pPr>
                  <w:r>
                    <w:rPr>
                      <w:rFonts w:hint="eastAsia" w:ascii="宋体" w:hAnsi="宋体"/>
                      <w:color w:val="000000"/>
                      <w:sz w:val="18"/>
                      <w:szCs w:val="18"/>
                    </w:rPr>
                    <w:t>重大生产安全事故为0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职业病发病率为0</w:t>
                  </w:r>
                </w:p>
              </w:tc>
              <w:tc>
                <w:tcPr>
                  <w:tcW w:w="2550" w:type="dxa"/>
                </w:tcPr>
                <w:p>
                  <w:pPr>
                    <w:spacing w:after="0"/>
                    <w:rPr>
                      <w:rFonts w:eastAsia="宋体"/>
                      <w:sz w:val="18"/>
                      <w:szCs w:val="18"/>
                    </w:rPr>
                  </w:pPr>
                  <w:r>
                    <w:rPr>
                      <w:rFonts w:hint="eastAsia"/>
                      <w:sz w:val="18"/>
                      <w:szCs w:val="18"/>
                    </w:rPr>
                    <w:t>查看职业健康体检报告</w:t>
                  </w:r>
                </w:p>
              </w:tc>
              <w:tc>
                <w:tcPr>
                  <w:tcW w:w="2321" w:type="dxa"/>
                </w:tcPr>
                <w:p>
                  <w:pPr>
                    <w:spacing w:after="0"/>
                    <w:rPr>
                      <w:sz w:val="18"/>
                      <w:szCs w:val="18"/>
                    </w:rPr>
                  </w:pPr>
                  <w:r>
                    <w:rPr>
                      <w:rFonts w:hint="eastAsia" w:ascii="宋体" w:hAnsi="宋体"/>
                      <w:color w:val="000000"/>
                      <w:sz w:val="18"/>
                      <w:szCs w:val="18"/>
                    </w:rPr>
                    <w:t>职业病发生率为0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危废物100%集中处理</w:t>
                  </w:r>
                </w:p>
              </w:tc>
              <w:tc>
                <w:tcPr>
                  <w:tcW w:w="2550" w:type="dxa"/>
                </w:tcPr>
                <w:p>
                  <w:pPr>
                    <w:spacing w:after="0"/>
                    <w:rPr>
                      <w:rFonts w:eastAsia="宋体"/>
                      <w:sz w:val="18"/>
                      <w:szCs w:val="18"/>
                    </w:rPr>
                  </w:pPr>
                  <w:r>
                    <w:rPr>
                      <w:rFonts w:hint="eastAsia"/>
                      <w:sz w:val="18"/>
                      <w:szCs w:val="18"/>
                    </w:rPr>
                    <w:t>委托有资质单位集中处理。</w:t>
                  </w:r>
                </w:p>
              </w:tc>
              <w:tc>
                <w:tcPr>
                  <w:tcW w:w="2321" w:type="dxa"/>
                </w:tcPr>
                <w:p>
                  <w:pPr>
                    <w:spacing w:after="0"/>
                    <w:rPr>
                      <w:sz w:val="18"/>
                      <w:szCs w:val="18"/>
                    </w:rPr>
                  </w:pPr>
                  <w:r>
                    <w:rPr>
                      <w:rFonts w:hint="eastAsia" w:ascii="宋体" w:hAnsi="宋体"/>
                      <w:color w:val="000000"/>
                      <w:sz w:val="18"/>
                      <w:szCs w:val="18"/>
                    </w:rPr>
                    <w:t>危废物100%集中处理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生产废弃物100%集中处理</w:t>
                  </w:r>
                </w:p>
              </w:tc>
              <w:tc>
                <w:tcPr>
                  <w:tcW w:w="2550" w:type="dxa"/>
                </w:tcPr>
                <w:p>
                  <w:pPr>
                    <w:spacing w:after="0"/>
                    <w:rPr>
                      <w:sz w:val="18"/>
                      <w:szCs w:val="18"/>
                    </w:rPr>
                  </w:pPr>
                  <w:r>
                    <w:rPr>
                      <w:rFonts w:hint="eastAsia"/>
                      <w:sz w:val="18"/>
                      <w:szCs w:val="18"/>
                    </w:rPr>
                    <w:t>甲方提供固废收集装置，集中收集处理。</w:t>
                  </w:r>
                </w:p>
              </w:tc>
              <w:tc>
                <w:tcPr>
                  <w:tcW w:w="2321" w:type="dxa"/>
                </w:tcPr>
                <w:p>
                  <w:pPr>
                    <w:spacing w:after="0"/>
                    <w:rPr>
                      <w:sz w:val="18"/>
                      <w:szCs w:val="18"/>
                    </w:rPr>
                  </w:pPr>
                  <w:r>
                    <w:rPr>
                      <w:rFonts w:hint="eastAsia" w:ascii="宋体" w:hAnsi="宋体"/>
                      <w:color w:val="000000"/>
                      <w:sz w:val="18"/>
                      <w:szCs w:val="18"/>
                    </w:rPr>
                    <w:t>生产固体废弃物100%集中处理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sz w:val="18"/>
                      <w:szCs w:val="18"/>
                    </w:rPr>
                  </w:pPr>
                  <w:r>
                    <w:rPr>
                      <w:rFonts w:hint="eastAsia"/>
                      <w:sz w:val="18"/>
                      <w:szCs w:val="18"/>
                    </w:rPr>
                    <w:t>行政部</w:t>
                  </w:r>
                </w:p>
              </w:tc>
              <w:tc>
                <w:tcPr>
                  <w:tcW w:w="2200" w:type="dxa"/>
                </w:tcPr>
                <w:p>
                  <w:pPr>
                    <w:spacing w:after="0"/>
                    <w:rPr>
                      <w:sz w:val="18"/>
                      <w:szCs w:val="18"/>
                    </w:rPr>
                  </w:pPr>
                  <w:r>
                    <w:rPr>
                      <w:rFonts w:hint="eastAsia" w:ascii="宋体" w:hAnsi="宋体"/>
                      <w:color w:val="000000"/>
                      <w:sz w:val="18"/>
                      <w:szCs w:val="18"/>
                    </w:rPr>
                    <w:t>文件使用有效率100%</w:t>
                  </w:r>
                </w:p>
              </w:tc>
              <w:tc>
                <w:tcPr>
                  <w:tcW w:w="2550" w:type="dxa"/>
                  <w:vMerge w:val="restart"/>
                </w:tcPr>
                <w:p>
                  <w:pPr>
                    <w:spacing w:after="0"/>
                    <w:rPr>
                      <w:sz w:val="18"/>
                      <w:szCs w:val="18"/>
                    </w:rPr>
                  </w:pPr>
                  <w:r>
                    <w:rPr>
                      <w:rFonts w:hint="eastAsia"/>
                      <w:sz w:val="18"/>
                      <w:szCs w:val="18"/>
                    </w:rPr>
                    <w:t>有效使用数÷总数×</w:t>
                  </w:r>
                  <w:r>
                    <w:rPr>
                      <w:sz w:val="18"/>
                      <w:szCs w:val="18"/>
                    </w:rPr>
                    <w:t>100%</w:t>
                  </w:r>
                </w:p>
                <w:p>
                  <w:pPr>
                    <w:spacing w:after="0"/>
                    <w:rPr>
                      <w:sz w:val="18"/>
                      <w:szCs w:val="18"/>
                    </w:rPr>
                  </w:pPr>
                  <w:r>
                    <w:rPr>
                      <w:rFonts w:hint="eastAsia"/>
                      <w:sz w:val="18"/>
                      <w:szCs w:val="18"/>
                    </w:rPr>
                    <w:t>实际培训次数</w:t>
                  </w:r>
                  <w:r>
                    <w:rPr>
                      <w:sz w:val="18"/>
                      <w:szCs w:val="18"/>
                    </w:rPr>
                    <w:t>/</w:t>
                  </w:r>
                  <w:r>
                    <w:rPr>
                      <w:rFonts w:hint="eastAsia"/>
                      <w:sz w:val="18"/>
                      <w:szCs w:val="18"/>
                    </w:rPr>
                    <w:t>培训计划次数×</w:t>
                  </w:r>
                  <w:r>
                    <w:rPr>
                      <w:sz w:val="18"/>
                      <w:szCs w:val="18"/>
                    </w:rPr>
                    <w:t>100%</w:t>
                  </w:r>
                </w:p>
                <w:p>
                  <w:pPr>
                    <w:spacing w:after="0"/>
                    <w:rPr>
                      <w:sz w:val="18"/>
                      <w:szCs w:val="18"/>
                    </w:rPr>
                  </w:pPr>
                  <w:r>
                    <w:rPr>
                      <w:rFonts w:hint="eastAsia"/>
                      <w:sz w:val="18"/>
                      <w:szCs w:val="18"/>
                    </w:rPr>
                    <w:t>合格人次数÷总人次数×</w:t>
                  </w:r>
                  <w:r>
                    <w:rPr>
                      <w:sz w:val="18"/>
                      <w:szCs w:val="18"/>
                    </w:rPr>
                    <w:t>100%</w:t>
                  </w:r>
                </w:p>
                <w:p>
                  <w:pPr>
                    <w:spacing w:after="0"/>
                    <w:rPr>
                      <w:rFonts w:eastAsia="宋体"/>
                      <w:sz w:val="18"/>
                      <w:szCs w:val="18"/>
                    </w:rPr>
                  </w:pPr>
                  <w:r>
                    <w:rPr>
                      <w:rFonts w:hint="eastAsia"/>
                      <w:sz w:val="18"/>
                      <w:szCs w:val="18"/>
                    </w:rPr>
                    <w:t>查看重大交通事故记录</w:t>
                  </w:r>
                </w:p>
                <w:p>
                  <w:pPr>
                    <w:spacing w:after="0"/>
                    <w:rPr>
                      <w:rFonts w:eastAsia="宋体"/>
                      <w:sz w:val="18"/>
                      <w:szCs w:val="18"/>
                    </w:rPr>
                  </w:pPr>
                  <w:r>
                    <w:rPr>
                      <w:rFonts w:hint="eastAsia"/>
                      <w:sz w:val="18"/>
                      <w:szCs w:val="18"/>
                    </w:rPr>
                    <w:t>查看火灾事故记录</w:t>
                  </w:r>
                </w:p>
                <w:p>
                  <w:pPr>
                    <w:spacing w:after="0"/>
                    <w:rPr>
                      <w:sz w:val="18"/>
                      <w:szCs w:val="18"/>
                    </w:rPr>
                  </w:pPr>
                  <w:r>
                    <w:rPr>
                      <w:rFonts w:hint="eastAsia"/>
                      <w:sz w:val="18"/>
                      <w:szCs w:val="18"/>
                    </w:rPr>
                    <w:t>查看固废收集分类处置记录。</w:t>
                  </w:r>
                </w:p>
              </w:tc>
              <w:tc>
                <w:tcPr>
                  <w:tcW w:w="2321" w:type="dxa"/>
                  <w:vMerge w:val="restart"/>
                </w:tcPr>
                <w:p>
                  <w:pPr>
                    <w:spacing w:after="0"/>
                    <w:rPr>
                      <w:sz w:val="18"/>
                      <w:szCs w:val="18"/>
                    </w:rPr>
                  </w:pPr>
                  <w:r>
                    <w:rPr>
                      <w:rFonts w:hint="eastAsia" w:ascii="宋体" w:hAnsi="宋体"/>
                      <w:color w:val="000000"/>
                      <w:sz w:val="18"/>
                      <w:szCs w:val="18"/>
                    </w:rPr>
                    <w:t>文件使用有效率100%</w:t>
                  </w:r>
                </w:p>
                <w:p>
                  <w:pPr>
                    <w:spacing w:after="0"/>
                    <w:rPr>
                      <w:rFonts w:ascii="宋体" w:hAnsi="宋体"/>
                      <w:color w:val="000000"/>
                      <w:sz w:val="18"/>
                      <w:szCs w:val="18"/>
                    </w:rPr>
                  </w:pPr>
                  <w:r>
                    <w:rPr>
                      <w:rFonts w:hint="eastAsia" w:ascii="宋体" w:hAnsi="宋体"/>
                      <w:color w:val="000000"/>
                      <w:sz w:val="18"/>
                      <w:szCs w:val="18"/>
                    </w:rPr>
                    <w:t>培训合格率100%</w:t>
                  </w:r>
                </w:p>
                <w:p>
                  <w:pPr>
                    <w:spacing w:after="0"/>
                    <w:rPr>
                      <w:sz w:val="18"/>
                      <w:szCs w:val="18"/>
                    </w:rPr>
                  </w:pPr>
                  <w:r>
                    <w:rPr>
                      <w:rFonts w:hint="eastAsia" w:ascii="宋体" w:hAnsi="宋体"/>
                      <w:color w:val="000000"/>
                      <w:sz w:val="18"/>
                      <w:szCs w:val="18"/>
                    </w:rPr>
                    <w:t>重大交通事故为零</w:t>
                  </w:r>
                </w:p>
                <w:p>
                  <w:pPr>
                    <w:spacing w:after="0"/>
                    <w:rPr>
                      <w:sz w:val="18"/>
                      <w:szCs w:val="18"/>
                    </w:rPr>
                  </w:pPr>
                  <w:r>
                    <w:rPr>
                      <w:rFonts w:hint="eastAsia" w:ascii="宋体" w:hAnsi="宋体"/>
                      <w:color w:val="000000"/>
                      <w:sz w:val="18"/>
                      <w:szCs w:val="18"/>
                    </w:rPr>
                    <w:t>火灾事故为0</w:t>
                  </w:r>
                </w:p>
                <w:p>
                  <w:pPr>
                    <w:spacing w:after="0"/>
                    <w:rPr>
                      <w:sz w:val="18"/>
                      <w:szCs w:val="18"/>
                    </w:rPr>
                  </w:pPr>
                  <w:r>
                    <w:rPr>
                      <w:rFonts w:hint="eastAsia" w:ascii="宋体" w:hAnsi="宋体"/>
                      <w:color w:val="000000"/>
                      <w:sz w:val="18"/>
                      <w:szCs w:val="18"/>
                    </w:rPr>
                    <w:t>固体废弃物分类处置率100%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vMerge w:val="restart"/>
                </w:tcPr>
                <w:p>
                  <w:pPr>
                    <w:spacing w:after="0"/>
                    <w:rPr>
                      <w:sz w:val="18"/>
                      <w:szCs w:val="18"/>
                    </w:rPr>
                  </w:pPr>
                  <w:r>
                    <w:rPr>
                      <w:rFonts w:hint="eastAsia" w:ascii="宋体" w:hAnsi="宋体"/>
                      <w:color w:val="000000"/>
                      <w:sz w:val="18"/>
                      <w:szCs w:val="18"/>
                    </w:rPr>
                    <w:t>培训合格率100%以上</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38" w:type="dxa"/>
                  <w:vMerge w:val="continue"/>
                </w:tcPr>
                <w:p>
                  <w:pPr>
                    <w:spacing w:after="0" w:line="220" w:lineRule="atLeast"/>
                    <w:jc w:val="center"/>
                    <w:rPr>
                      <w:sz w:val="18"/>
                      <w:szCs w:val="18"/>
                    </w:rPr>
                  </w:pPr>
                </w:p>
              </w:tc>
              <w:tc>
                <w:tcPr>
                  <w:tcW w:w="2200" w:type="dxa"/>
                  <w:vMerge w:val="continue"/>
                </w:tcPr>
                <w:p>
                  <w:pPr>
                    <w:spacing w:after="0"/>
                    <w:rPr>
                      <w:rFonts w:ascii="宋体" w:hAnsi="宋体"/>
                      <w:color w:val="000000"/>
                      <w:sz w:val="18"/>
                      <w:szCs w:val="18"/>
                    </w:rPr>
                  </w:pPr>
                </w:p>
              </w:tc>
              <w:tc>
                <w:tcPr>
                  <w:tcW w:w="2550" w:type="dxa"/>
                  <w:vMerge w:val="continue"/>
                </w:tcPr>
                <w:p>
                  <w:pPr>
                    <w:spacing w:after="0"/>
                    <w:rPr>
                      <w:sz w:val="18"/>
                      <w:szCs w:val="18"/>
                    </w:rPr>
                  </w:pPr>
                </w:p>
              </w:tc>
              <w:tc>
                <w:tcPr>
                  <w:tcW w:w="2321" w:type="dxa"/>
                  <w:vMerge w:val="continue"/>
                </w:tcPr>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eastAsia="宋体"/>
                      <w:sz w:val="18"/>
                      <w:szCs w:val="18"/>
                    </w:rPr>
                  </w:pPr>
                  <w:r>
                    <w:rPr>
                      <w:rFonts w:hint="eastAsia" w:ascii="宋体" w:hAnsi="宋体"/>
                      <w:color w:val="000000"/>
                      <w:sz w:val="18"/>
                      <w:szCs w:val="18"/>
                    </w:rPr>
                    <w:t>重大交通事故为零</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火灾事故为0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固体废弃物分类处置率100%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jc w:val="center"/>
                    <w:rPr>
                      <w:sz w:val="18"/>
                      <w:szCs w:val="18"/>
                    </w:rPr>
                  </w:pPr>
                  <w:r>
                    <w:rPr>
                      <w:rFonts w:hint="eastAsia"/>
                      <w:sz w:val="18"/>
                      <w:szCs w:val="18"/>
                    </w:rPr>
                    <w:t>销售</w:t>
                  </w:r>
                  <w:r>
                    <w:rPr>
                      <w:sz w:val="18"/>
                      <w:szCs w:val="18"/>
                    </w:rPr>
                    <w:t>部</w:t>
                  </w:r>
                </w:p>
              </w:tc>
              <w:tc>
                <w:tcPr>
                  <w:tcW w:w="2200" w:type="dxa"/>
                </w:tcPr>
                <w:p>
                  <w:pPr>
                    <w:spacing w:after="0"/>
                    <w:rPr>
                      <w:color w:val="auto"/>
                      <w:sz w:val="18"/>
                      <w:szCs w:val="18"/>
                    </w:rPr>
                  </w:pPr>
                  <w:r>
                    <w:rPr>
                      <w:rFonts w:hint="eastAsia" w:ascii="宋体" w:hAnsi="宋体"/>
                      <w:color w:val="auto"/>
                      <w:sz w:val="18"/>
                      <w:szCs w:val="18"/>
                    </w:rPr>
                    <w:t>合同履约率达100%</w:t>
                  </w:r>
                </w:p>
              </w:tc>
              <w:tc>
                <w:tcPr>
                  <w:tcW w:w="2550" w:type="dxa"/>
                  <w:vMerge w:val="restart"/>
                </w:tcPr>
                <w:p>
                  <w:pPr>
                    <w:spacing w:after="0"/>
                    <w:rPr>
                      <w:rFonts w:eastAsia="宋体"/>
                      <w:color w:val="auto"/>
                      <w:sz w:val="18"/>
                      <w:szCs w:val="18"/>
                    </w:rPr>
                  </w:pPr>
                  <w:r>
                    <w:rPr>
                      <w:rFonts w:hint="eastAsia" w:eastAsia="宋体"/>
                      <w:color w:val="auto"/>
                      <w:sz w:val="18"/>
                      <w:szCs w:val="18"/>
                    </w:rPr>
                    <w:t>合同完成数÷总数</w:t>
                  </w:r>
                  <w:r>
                    <w:rPr>
                      <w:rFonts w:hint="eastAsia"/>
                      <w:color w:val="auto"/>
                      <w:sz w:val="18"/>
                      <w:szCs w:val="18"/>
                    </w:rPr>
                    <w:t>×</w:t>
                  </w:r>
                  <w:r>
                    <w:rPr>
                      <w:color w:val="auto"/>
                      <w:sz w:val="18"/>
                      <w:szCs w:val="18"/>
                    </w:rPr>
                    <w:t>100%</w:t>
                  </w:r>
                </w:p>
                <w:p>
                  <w:pPr>
                    <w:spacing w:after="0"/>
                    <w:rPr>
                      <w:rFonts w:eastAsia="宋体"/>
                      <w:color w:val="auto"/>
                      <w:sz w:val="18"/>
                      <w:szCs w:val="18"/>
                    </w:rPr>
                  </w:pPr>
                  <w:r>
                    <w:rPr>
                      <w:rFonts w:hint="eastAsia" w:eastAsia="宋体"/>
                      <w:color w:val="auto"/>
                      <w:sz w:val="18"/>
                      <w:szCs w:val="18"/>
                    </w:rPr>
                    <w:t>执行顾客满意度调查分析</w:t>
                  </w:r>
                </w:p>
                <w:p>
                  <w:pPr>
                    <w:spacing w:after="0"/>
                    <w:rPr>
                      <w:color w:val="auto"/>
                      <w:sz w:val="18"/>
                      <w:szCs w:val="18"/>
                    </w:rPr>
                  </w:pPr>
                  <w:r>
                    <w:rPr>
                      <w:rFonts w:hint="eastAsia"/>
                      <w:color w:val="auto"/>
                      <w:sz w:val="18"/>
                      <w:szCs w:val="18"/>
                    </w:rPr>
                    <w:t>评定数÷总数×</w:t>
                  </w:r>
                  <w:r>
                    <w:rPr>
                      <w:color w:val="auto"/>
                      <w:sz w:val="18"/>
                      <w:szCs w:val="18"/>
                    </w:rPr>
                    <w:t>100%</w:t>
                  </w:r>
                </w:p>
                <w:p>
                  <w:pPr>
                    <w:spacing w:after="0"/>
                    <w:rPr>
                      <w:rFonts w:eastAsia="宋体"/>
                      <w:color w:val="auto"/>
                      <w:sz w:val="18"/>
                      <w:szCs w:val="18"/>
                    </w:rPr>
                  </w:pPr>
                  <w:r>
                    <w:rPr>
                      <w:rFonts w:hint="eastAsia"/>
                      <w:color w:val="auto"/>
                      <w:sz w:val="18"/>
                      <w:szCs w:val="18"/>
                    </w:rPr>
                    <w:t>查看固废收集分类处置记录。</w:t>
                  </w:r>
                </w:p>
                <w:p>
                  <w:pPr>
                    <w:spacing w:after="0"/>
                    <w:rPr>
                      <w:rFonts w:eastAsia="宋体"/>
                      <w:color w:val="auto"/>
                      <w:sz w:val="18"/>
                      <w:szCs w:val="18"/>
                    </w:rPr>
                  </w:pPr>
                  <w:r>
                    <w:rPr>
                      <w:rFonts w:hint="eastAsia"/>
                      <w:color w:val="auto"/>
                      <w:sz w:val="18"/>
                      <w:szCs w:val="18"/>
                    </w:rPr>
                    <w:t>查看火灾事故记录</w:t>
                  </w:r>
                </w:p>
              </w:tc>
              <w:tc>
                <w:tcPr>
                  <w:tcW w:w="2321" w:type="dxa"/>
                  <w:vMerge w:val="restart"/>
                </w:tcPr>
                <w:p>
                  <w:pPr>
                    <w:spacing w:after="0"/>
                    <w:rPr>
                      <w:color w:val="auto"/>
                      <w:sz w:val="18"/>
                      <w:szCs w:val="18"/>
                    </w:rPr>
                  </w:pPr>
                  <w:r>
                    <w:rPr>
                      <w:rFonts w:hint="eastAsia" w:ascii="宋体" w:hAnsi="宋体"/>
                      <w:color w:val="auto"/>
                      <w:sz w:val="18"/>
                      <w:szCs w:val="18"/>
                    </w:rPr>
                    <w:t>合同履约率达100%</w:t>
                  </w:r>
                </w:p>
                <w:p>
                  <w:pPr>
                    <w:spacing w:after="0"/>
                    <w:rPr>
                      <w:color w:val="auto"/>
                      <w:sz w:val="18"/>
                      <w:szCs w:val="18"/>
                    </w:rPr>
                  </w:pPr>
                  <w:r>
                    <w:rPr>
                      <w:rFonts w:hint="eastAsia" w:ascii="宋体" w:hAnsi="宋体"/>
                      <w:color w:val="auto"/>
                      <w:sz w:val="18"/>
                      <w:szCs w:val="18"/>
                    </w:rPr>
                    <w:t>顾客满意度达</w:t>
                  </w:r>
                  <w:r>
                    <w:rPr>
                      <w:rFonts w:hint="eastAsia" w:ascii="宋体" w:hAnsi="宋体"/>
                      <w:color w:val="auto"/>
                      <w:sz w:val="18"/>
                      <w:szCs w:val="18"/>
                      <w:lang w:val="en-US" w:eastAsia="zh-CN"/>
                    </w:rPr>
                    <w:t>98.8</w:t>
                  </w:r>
                  <w:r>
                    <w:rPr>
                      <w:rFonts w:hint="eastAsia"/>
                      <w:color w:val="auto"/>
                      <w:sz w:val="18"/>
                      <w:szCs w:val="18"/>
                    </w:rPr>
                    <w:t>%</w:t>
                  </w:r>
                </w:p>
                <w:p>
                  <w:pPr>
                    <w:spacing w:after="0"/>
                    <w:rPr>
                      <w:rFonts w:ascii="宋体" w:hAnsi="宋体"/>
                      <w:color w:val="auto"/>
                      <w:sz w:val="18"/>
                      <w:szCs w:val="18"/>
                    </w:rPr>
                  </w:pPr>
                  <w:r>
                    <w:rPr>
                      <w:rFonts w:hint="eastAsia" w:ascii="宋体" w:hAnsi="宋体"/>
                      <w:color w:val="auto"/>
                      <w:sz w:val="18"/>
                      <w:szCs w:val="18"/>
                    </w:rPr>
                    <w:t>供方评定率100%；</w:t>
                  </w:r>
                </w:p>
                <w:p>
                  <w:pPr>
                    <w:spacing w:after="0"/>
                    <w:rPr>
                      <w:color w:val="auto"/>
                      <w:sz w:val="18"/>
                      <w:szCs w:val="18"/>
                    </w:rPr>
                  </w:pPr>
                  <w:r>
                    <w:rPr>
                      <w:rFonts w:hint="eastAsia" w:ascii="宋体" w:hAnsi="宋体"/>
                      <w:color w:val="auto"/>
                      <w:sz w:val="18"/>
                      <w:szCs w:val="18"/>
                    </w:rPr>
                    <w:t>所需物资在合格供方内采购</w:t>
                  </w:r>
                </w:p>
                <w:p>
                  <w:pPr>
                    <w:spacing w:after="0"/>
                    <w:rPr>
                      <w:color w:val="auto"/>
                      <w:sz w:val="18"/>
                      <w:szCs w:val="18"/>
                    </w:rPr>
                  </w:pPr>
                  <w:r>
                    <w:rPr>
                      <w:rFonts w:hint="eastAsia" w:ascii="宋体" w:hAnsi="宋体"/>
                      <w:color w:val="auto"/>
                      <w:sz w:val="18"/>
                      <w:szCs w:val="18"/>
                    </w:rPr>
                    <w:t>固体废弃物分类处置率100%</w:t>
                  </w:r>
                </w:p>
                <w:p>
                  <w:pPr>
                    <w:spacing w:after="0"/>
                    <w:rPr>
                      <w:color w:val="auto"/>
                      <w:sz w:val="18"/>
                      <w:szCs w:val="18"/>
                    </w:rPr>
                  </w:pPr>
                  <w:r>
                    <w:rPr>
                      <w:rFonts w:hint="eastAsia" w:ascii="宋体" w:hAnsi="宋体"/>
                      <w:color w:val="auto"/>
                      <w:sz w:val="18"/>
                      <w:szCs w:val="18"/>
                    </w:rPr>
                    <w:t>火灾事故为0</w:t>
                  </w:r>
                </w:p>
              </w:tc>
              <w:tc>
                <w:tcPr>
                  <w:tcW w:w="1160" w:type="dxa"/>
                </w:tcPr>
                <w:p>
                  <w:pPr>
                    <w:spacing w:after="0"/>
                    <w:ind w:firstLine="90" w:firstLineChars="5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hint="eastAsia" w:eastAsia="微软雅黑"/>
                      <w:color w:val="auto"/>
                      <w:sz w:val="18"/>
                      <w:szCs w:val="18"/>
                      <w:lang w:eastAsia="zh-CN"/>
                    </w:rPr>
                  </w:pPr>
                  <w:r>
                    <w:rPr>
                      <w:rFonts w:hint="eastAsia" w:ascii="宋体" w:hAnsi="宋体"/>
                      <w:color w:val="auto"/>
                      <w:sz w:val="18"/>
                      <w:szCs w:val="18"/>
                      <w:lang w:eastAsia="zh-CN"/>
                    </w:rPr>
                    <w:t>顾客满意度94%以上</w:t>
                  </w:r>
                </w:p>
              </w:tc>
              <w:tc>
                <w:tcPr>
                  <w:tcW w:w="2550" w:type="dxa"/>
                  <w:vMerge w:val="continue"/>
                </w:tcPr>
                <w:p>
                  <w:pPr>
                    <w:spacing w:after="0"/>
                    <w:rPr>
                      <w:rFonts w:eastAsia="宋体"/>
                      <w:color w:val="auto"/>
                      <w:sz w:val="18"/>
                      <w:szCs w:val="18"/>
                    </w:rPr>
                  </w:pPr>
                </w:p>
              </w:tc>
              <w:tc>
                <w:tcPr>
                  <w:tcW w:w="2321" w:type="dxa"/>
                  <w:vMerge w:val="continue"/>
                </w:tcPr>
                <w:p>
                  <w:pPr>
                    <w:spacing w:after="0"/>
                    <w:rPr>
                      <w:color w:val="auto"/>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38" w:type="dxa"/>
                  <w:vMerge w:val="restart"/>
                </w:tcPr>
                <w:p>
                  <w:pPr>
                    <w:spacing w:after="0" w:line="220" w:lineRule="atLeast"/>
                    <w:jc w:val="center"/>
                    <w:rPr>
                      <w:sz w:val="18"/>
                      <w:szCs w:val="18"/>
                    </w:rPr>
                  </w:pPr>
                  <w:r>
                    <w:rPr>
                      <w:sz w:val="18"/>
                      <w:szCs w:val="18"/>
                    </w:rPr>
                    <w:t>采购部</w:t>
                  </w:r>
                </w:p>
              </w:tc>
              <w:tc>
                <w:tcPr>
                  <w:tcW w:w="2200" w:type="dxa"/>
                </w:tcPr>
                <w:p>
                  <w:pPr>
                    <w:spacing w:after="0"/>
                    <w:rPr>
                      <w:sz w:val="18"/>
                      <w:szCs w:val="18"/>
                    </w:rPr>
                  </w:pPr>
                  <w:r>
                    <w:rPr>
                      <w:rFonts w:hint="eastAsia" w:ascii="宋体" w:hAnsi="宋体"/>
                      <w:color w:val="000000"/>
                      <w:sz w:val="18"/>
                      <w:szCs w:val="18"/>
                    </w:rPr>
                    <w:t>供方评定合格率100%</w:t>
                  </w:r>
                </w:p>
              </w:tc>
              <w:tc>
                <w:tcPr>
                  <w:tcW w:w="2550" w:type="dxa"/>
                  <w:vMerge w:val="restart"/>
                </w:tcPr>
                <w:p>
                  <w:pPr>
                    <w:spacing w:after="0"/>
                    <w:rPr>
                      <w:sz w:val="18"/>
                      <w:szCs w:val="18"/>
                    </w:rPr>
                  </w:pPr>
                  <w:r>
                    <w:rPr>
                      <w:rFonts w:hint="eastAsia"/>
                      <w:sz w:val="18"/>
                      <w:szCs w:val="18"/>
                    </w:rPr>
                    <w:t>查看合格供方评价。</w:t>
                  </w:r>
                </w:p>
                <w:p>
                  <w:pPr>
                    <w:spacing w:after="0"/>
                    <w:rPr>
                      <w:sz w:val="18"/>
                      <w:szCs w:val="18"/>
                    </w:rPr>
                  </w:pPr>
                  <w:r>
                    <w:rPr>
                      <w:rFonts w:hint="eastAsia"/>
                      <w:sz w:val="18"/>
                      <w:szCs w:val="18"/>
                    </w:rPr>
                    <w:t>查采购入库记录</w:t>
                  </w:r>
                </w:p>
                <w:p>
                  <w:pPr>
                    <w:spacing w:after="0"/>
                    <w:rPr>
                      <w:rFonts w:eastAsia="宋体"/>
                      <w:sz w:val="18"/>
                      <w:szCs w:val="18"/>
                    </w:rPr>
                  </w:pPr>
                  <w:r>
                    <w:rPr>
                      <w:rFonts w:hint="eastAsia"/>
                      <w:sz w:val="18"/>
                      <w:szCs w:val="18"/>
                    </w:rPr>
                    <w:t>查看固废收集分类处置记录。</w:t>
                  </w:r>
                </w:p>
                <w:p>
                  <w:pPr>
                    <w:spacing w:after="0"/>
                    <w:rPr>
                      <w:rFonts w:eastAsia="宋体"/>
                      <w:sz w:val="18"/>
                      <w:szCs w:val="18"/>
                    </w:rPr>
                  </w:pPr>
                  <w:r>
                    <w:rPr>
                      <w:rFonts w:hint="eastAsia"/>
                      <w:sz w:val="18"/>
                      <w:szCs w:val="18"/>
                    </w:rPr>
                    <w:t>查看火灾、爆炸事故记录</w:t>
                  </w:r>
                </w:p>
              </w:tc>
              <w:tc>
                <w:tcPr>
                  <w:tcW w:w="2321" w:type="dxa"/>
                  <w:vMerge w:val="restart"/>
                </w:tcPr>
                <w:p>
                  <w:pPr>
                    <w:spacing w:after="0"/>
                    <w:rPr>
                      <w:rFonts w:ascii="宋体" w:hAnsi="宋体"/>
                      <w:color w:val="000000"/>
                      <w:sz w:val="18"/>
                      <w:szCs w:val="18"/>
                    </w:rPr>
                  </w:pPr>
                  <w:r>
                    <w:rPr>
                      <w:rFonts w:hint="eastAsia" w:ascii="宋体" w:hAnsi="宋体"/>
                      <w:color w:val="000000"/>
                      <w:sz w:val="18"/>
                      <w:szCs w:val="18"/>
                    </w:rPr>
                    <w:t>供方评定合格率100%；</w:t>
                  </w:r>
                </w:p>
                <w:p>
                  <w:pPr>
                    <w:spacing w:after="0"/>
                    <w:rPr>
                      <w:sz w:val="18"/>
                      <w:szCs w:val="18"/>
                    </w:rPr>
                  </w:pPr>
                  <w:r>
                    <w:rPr>
                      <w:rFonts w:hint="eastAsia"/>
                      <w:sz w:val="18"/>
                      <w:szCs w:val="18"/>
                    </w:rPr>
                    <w:t>采购产品交货及时率达到98%</w:t>
                  </w:r>
                </w:p>
                <w:p>
                  <w:pPr>
                    <w:spacing w:after="0"/>
                    <w:rPr>
                      <w:sz w:val="18"/>
                      <w:szCs w:val="18"/>
                    </w:rPr>
                  </w:pPr>
                  <w:r>
                    <w:rPr>
                      <w:rFonts w:hint="eastAsia" w:ascii="宋体" w:hAnsi="宋体"/>
                      <w:color w:val="000000"/>
                      <w:sz w:val="18"/>
                      <w:szCs w:val="18"/>
                    </w:rPr>
                    <w:t>固体废弃物分类处置率100%</w:t>
                  </w:r>
                </w:p>
                <w:p>
                  <w:pPr>
                    <w:spacing w:after="0"/>
                    <w:rPr>
                      <w:sz w:val="18"/>
                      <w:szCs w:val="18"/>
                    </w:rPr>
                  </w:pPr>
                  <w:r>
                    <w:rPr>
                      <w:rFonts w:hint="eastAsia" w:ascii="宋体" w:hAnsi="宋体"/>
                      <w:color w:val="000000"/>
                      <w:sz w:val="18"/>
                      <w:szCs w:val="18"/>
                    </w:rPr>
                    <w:t>火灾、爆炸事故为0</w:t>
                  </w:r>
                </w:p>
              </w:tc>
              <w:tc>
                <w:tcPr>
                  <w:tcW w:w="1160" w:type="dxa"/>
                </w:tcPr>
                <w:p>
                  <w:pPr>
                    <w:spacing w:after="0"/>
                    <w:ind w:firstLine="90" w:firstLineChars="5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8" w:type="dxa"/>
                  <w:vMerge w:val="continue"/>
                </w:tcPr>
                <w:p>
                  <w:pPr>
                    <w:spacing w:after="0" w:line="220" w:lineRule="atLeast"/>
                    <w:jc w:val="center"/>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采购产品交货及时率达90%以上</w:t>
                  </w:r>
                </w:p>
              </w:tc>
              <w:tc>
                <w:tcPr>
                  <w:tcW w:w="2550" w:type="dxa"/>
                  <w:vMerge w:val="continue"/>
                </w:tcPr>
                <w:p>
                  <w:pPr>
                    <w:spacing w:after="0"/>
                    <w:rPr>
                      <w:sz w:val="18"/>
                      <w:szCs w:val="18"/>
                    </w:rPr>
                  </w:pPr>
                </w:p>
              </w:tc>
              <w:tc>
                <w:tcPr>
                  <w:tcW w:w="2321" w:type="dxa"/>
                  <w:vMerge w:val="continue"/>
                </w:tcPr>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固体废弃物分类处置率100%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8" w:type="dxa"/>
                  <w:vMerge w:val="restart"/>
                </w:tcPr>
                <w:p>
                  <w:pPr>
                    <w:spacing w:after="0" w:line="220" w:lineRule="atLeast"/>
                    <w:jc w:val="center"/>
                    <w:rPr>
                      <w:sz w:val="18"/>
                      <w:szCs w:val="18"/>
                    </w:rPr>
                  </w:pPr>
                  <w:r>
                    <w:rPr>
                      <w:rFonts w:hint="eastAsia"/>
                      <w:sz w:val="18"/>
                      <w:szCs w:val="18"/>
                    </w:rPr>
                    <w:t>生产</w:t>
                  </w:r>
                  <w:r>
                    <w:rPr>
                      <w:sz w:val="18"/>
                      <w:szCs w:val="18"/>
                    </w:rPr>
                    <w:t>部</w:t>
                  </w:r>
                </w:p>
              </w:tc>
              <w:tc>
                <w:tcPr>
                  <w:tcW w:w="2200" w:type="dxa"/>
                </w:tcPr>
                <w:p>
                  <w:pPr>
                    <w:rPr>
                      <w:sz w:val="18"/>
                      <w:szCs w:val="18"/>
                    </w:rPr>
                  </w:pPr>
                  <w:r>
                    <w:rPr>
                      <w:rFonts w:hint="eastAsia" w:ascii="宋体" w:hAnsi="宋体"/>
                      <w:color w:val="000000"/>
                      <w:sz w:val="18"/>
                      <w:szCs w:val="18"/>
                    </w:rPr>
                    <w:t>确保生产设备完好率90%以上</w:t>
                  </w:r>
                </w:p>
              </w:tc>
              <w:tc>
                <w:tcPr>
                  <w:tcW w:w="2550" w:type="dxa"/>
                  <w:vMerge w:val="restart"/>
                </w:tcPr>
                <w:p>
                  <w:pPr>
                    <w:spacing w:after="0"/>
                    <w:rPr>
                      <w:rFonts w:eastAsia="宋体"/>
                      <w:sz w:val="18"/>
                      <w:szCs w:val="18"/>
                    </w:rPr>
                  </w:pPr>
                  <w:r>
                    <w:rPr>
                      <w:rFonts w:hint="eastAsia"/>
                      <w:sz w:val="18"/>
                      <w:szCs w:val="18"/>
                    </w:rPr>
                    <w:t>完好数÷总数×</w:t>
                  </w:r>
                  <w:r>
                    <w:rPr>
                      <w:sz w:val="18"/>
                      <w:szCs w:val="18"/>
                    </w:rPr>
                    <w:t>100%</w:t>
                  </w:r>
                </w:p>
                <w:p>
                  <w:pPr>
                    <w:spacing w:after="0"/>
                    <w:rPr>
                      <w:sz w:val="18"/>
                      <w:szCs w:val="18"/>
                    </w:rPr>
                  </w:pPr>
                  <w:r>
                    <w:rPr>
                      <w:rFonts w:hint="eastAsia"/>
                      <w:sz w:val="18"/>
                      <w:szCs w:val="18"/>
                    </w:rPr>
                    <w:t>合格数÷总数×</w:t>
                  </w:r>
                  <w:r>
                    <w:rPr>
                      <w:sz w:val="18"/>
                      <w:szCs w:val="18"/>
                    </w:rPr>
                    <w:t>100%</w:t>
                  </w:r>
                </w:p>
                <w:p>
                  <w:pPr>
                    <w:spacing w:after="0"/>
                    <w:rPr>
                      <w:rFonts w:eastAsia="宋体"/>
                      <w:sz w:val="18"/>
                      <w:szCs w:val="18"/>
                    </w:rPr>
                  </w:pPr>
                  <w:r>
                    <w:rPr>
                      <w:rFonts w:hint="eastAsia"/>
                      <w:sz w:val="18"/>
                      <w:szCs w:val="18"/>
                    </w:rPr>
                    <w:t>查看火灾事故记录</w:t>
                  </w:r>
                </w:p>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p>
                  <w:pPr>
                    <w:spacing w:after="0"/>
                    <w:rPr>
                      <w:rFonts w:eastAsia="宋体"/>
                      <w:sz w:val="18"/>
                      <w:szCs w:val="18"/>
                    </w:rPr>
                  </w:pPr>
                  <w:r>
                    <w:rPr>
                      <w:rFonts w:hint="eastAsia"/>
                      <w:sz w:val="18"/>
                      <w:szCs w:val="18"/>
                    </w:rPr>
                    <w:t>委托有资质单位集中处理。</w:t>
                  </w:r>
                </w:p>
                <w:p>
                  <w:pPr>
                    <w:spacing w:after="0" w:line="220" w:lineRule="atLeast"/>
                    <w:rPr>
                      <w:sz w:val="18"/>
                      <w:szCs w:val="18"/>
                    </w:rPr>
                  </w:pPr>
                  <w:r>
                    <w:rPr>
                      <w:rFonts w:hint="eastAsia"/>
                      <w:sz w:val="18"/>
                      <w:szCs w:val="18"/>
                    </w:rPr>
                    <w:t>甲方提供固废收集装置，集中收集处理。</w:t>
                  </w:r>
                </w:p>
                <w:p>
                  <w:pPr>
                    <w:spacing w:after="0"/>
                    <w:rPr>
                      <w:rFonts w:hint="eastAsia"/>
                      <w:sz w:val="18"/>
                      <w:szCs w:val="18"/>
                    </w:rPr>
                  </w:pPr>
                  <w:r>
                    <w:rPr>
                      <w:rFonts w:hint="eastAsia"/>
                      <w:sz w:val="18"/>
                      <w:szCs w:val="18"/>
                    </w:rPr>
                    <w:t>使用低噪声工器具，施工地点远离居民区。</w:t>
                  </w:r>
                </w:p>
                <w:p>
                  <w:pPr>
                    <w:spacing w:after="0"/>
                    <w:rPr>
                      <w:rFonts w:hint="eastAsia"/>
                      <w:sz w:val="18"/>
                      <w:szCs w:val="18"/>
                      <w:lang w:val="en-US" w:eastAsia="zh-CN"/>
                    </w:rPr>
                  </w:pPr>
                  <w:r>
                    <w:rPr>
                      <w:rFonts w:hint="eastAsia"/>
                      <w:sz w:val="18"/>
                      <w:szCs w:val="18"/>
                      <w:lang w:val="en-US" w:eastAsia="zh-CN"/>
                    </w:rPr>
                    <w:t>按生产工艺执行</w:t>
                  </w:r>
                </w:p>
                <w:p>
                  <w:pPr>
                    <w:spacing w:after="0"/>
                    <w:rPr>
                      <w:rFonts w:hint="eastAsia"/>
                      <w:sz w:val="18"/>
                      <w:szCs w:val="18"/>
                      <w:lang w:val="en-US" w:eastAsia="zh-CN"/>
                    </w:rPr>
                  </w:pPr>
                  <w:r>
                    <w:rPr>
                      <w:rFonts w:hint="eastAsia"/>
                      <w:sz w:val="18"/>
                      <w:szCs w:val="18"/>
                      <w:lang w:val="en-US" w:eastAsia="zh-CN"/>
                    </w:rPr>
                    <w:t>经考核数据统计</w:t>
                  </w:r>
                </w:p>
                <w:p>
                  <w:pPr>
                    <w:spacing w:after="0"/>
                    <w:rPr>
                      <w:rFonts w:hint="default"/>
                      <w:sz w:val="18"/>
                      <w:szCs w:val="18"/>
                      <w:lang w:val="en-US" w:eastAsia="zh-CN"/>
                    </w:rPr>
                  </w:pPr>
                </w:p>
              </w:tc>
              <w:tc>
                <w:tcPr>
                  <w:tcW w:w="2321" w:type="dxa"/>
                  <w:vMerge w:val="restart"/>
                </w:tcPr>
                <w:p>
                  <w:pPr>
                    <w:spacing w:after="0"/>
                    <w:rPr>
                      <w:sz w:val="18"/>
                      <w:szCs w:val="18"/>
                    </w:rPr>
                  </w:pPr>
                  <w:r>
                    <w:rPr>
                      <w:sz w:val="18"/>
                      <w:szCs w:val="18"/>
                    </w:rPr>
                    <w:t>设备完好</w:t>
                  </w:r>
                  <w:r>
                    <w:rPr>
                      <w:rFonts w:hint="eastAsia"/>
                      <w:sz w:val="18"/>
                      <w:szCs w:val="18"/>
                    </w:rPr>
                    <w:t>100%</w:t>
                  </w:r>
                </w:p>
                <w:p>
                  <w:pPr>
                    <w:spacing w:after="0"/>
                    <w:rPr>
                      <w:sz w:val="18"/>
                      <w:szCs w:val="18"/>
                    </w:rPr>
                  </w:pPr>
                  <w:r>
                    <w:rPr>
                      <w:rFonts w:hint="eastAsia" w:ascii="宋体" w:hAnsi="宋体"/>
                      <w:color w:val="000000"/>
                      <w:sz w:val="18"/>
                      <w:szCs w:val="18"/>
                    </w:rPr>
                    <w:t>火灾事故为0</w:t>
                  </w:r>
                </w:p>
                <w:p>
                  <w:pPr>
                    <w:spacing w:after="0"/>
                    <w:rPr>
                      <w:sz w:val="18"/>
                      <w:szCs w:val="18"/>
                    </w:rPr>
                  </w:pPr>
                  <w:r>
                    <w:rPr>
                      <w:rFonts w:hint="eastAsia" w:ascii="宋体" w:hAnsi="宋体"/>
                      <w:color w:val="000000"/>
                      <w:sz w:val="18"/>
                      <w:szCs w:val="18"/>
                    </w:rPr>
                    <w:t>重大生产安全事故为0</w:t>
                  </w:r>
                </w:p>
                <w:p>
                  <w:pPr>
                    <w:spacing w:after="0"/>
                    <w:rPr>
                      <w:sz w:val="18"/>
                      <w:szCs w:val="18"/>
                    </w:rPr>
                  </w:pPr>
                  <w:r>
                    <w:rPr>
                      <w:rFonts w:hint="eastAsia" w:ascii="宋体" w:hAnsi="宋体"/>
                      <w:color w:val="000000"/>
                      <w:sz w:val="18"/>
                      <w:szCs w:val="18"/>
                    </w:rPr>
                    <w:t>危废物100%集中处理</w:t>
                  </w:r>
                </w:p>
                <w:p>
                  <w:pPr>
                    <w:spacing w:after="0" w:line="220" w:lineRule="atLeast"/>
                    <w:rPr>
                      <w:sz w:val="18"/>
                      <w:szCs w:val="18"/>
                    </w:rPr>
                  </w:pPr>
                  <w:r>
                    <w:rPr>
                      <w:rFonts w:hint="eastAsia"/>
                      <w:sz w:val="18"/>
                      <w:szCs w:val="18"/>
                    </w:rPr>
                    <w:t>生产固体废弃物100%集中处理</w:t>
                  </w:r>
                </w:p>
                <w:p>
                  <w:pPr>
                    <w:spacing w:after="0"/>
                    <w:rPr>
                      <w:rFonts w:hint="eastAsia"/>
                      <w:sz w:val="18"/>
                      <w:szCs w:val="18"/>
                    </w:rPr>
                  </w:pPr>
                  <w:r>
                    <w:rPr>
                      <w:rFonts w:hint="eastAsia"/>
                      <w:sz w:val="18"/>
                      <w:szCs w:val="18"/>
                    </w:rPr>
                    <w:t>民众投诉为0。</w:t>
                  </w:r>
                </w:p>
                <w:p>
                  <w:pPr>
                    <w:spacing w:after="0"/>
                    <w:rPr>
                      <w:rFonts w:hint="eastAsia" w:ascii="宋体" w:hAnsi="宋体"/>
                      <w:color w:val="000000"/>
                      <w:sz w:val="18"/>
                      <w:szCs w:val="18"/>
                    </w:rPr>
                  </w:pPr>
                  <w:r>
                    <w:rPr>
                      <w:rFonts w:hint="eastAsia" w:ascii="宋体" w:hAnsi="宋体"/>
                      <w:color w:val="000000"/>
                      <w:sz w:val="18"/>
                      <w:szCs w:val="18"/>
                    </w:rPr>
                    <w:t>产品出厂合格率100%</w:t>
                  </w:r>
                </w:p>
                <w:p>
                  <w:pPr>
                    <w:spacing w:after="0"/>
                    <w:rPr>
                      <w:rFonts w:hint="eastAsia" w:ascii="宋体" w:hAnsi="宋体"/>
                      <w:color w:val="000000"/>
                      <w:sz w:val="18"/>
                      <w:szCs w:val="18"/>
                    </w:rPr>
                  </w:pPr>
                  <w:r>
                    <w:rPr>
                      <w:rFonts w:hint="eastAsia" w:ascii="宋体" w:hAnsi="宋体"/>
                      <w:color w:val="000000"/>
                      <w:sz w:val="18"/>
                      <w:szCs w:val="18"/>
                    </w:rPr>
                    <w:t>生产工艺执行率100%</w:t>
                  </w:r>
                </w:p>
                <w:p>
                  <w:pPr>
                    <w:spacing w:after="0"/>
                    <w:rPr>
                      <w:rFonts w:hint="eastAsia" w:ascii="宋体" w:hAnsi="宋体"/>
                      <w:color w:val="000000"/>
                      <w:sz w:val="18"/>
                      <w:szCs w:val="18"/>
                    </w:rPr>
                  </w:pPr>
                  <w:r>
                    <w:rPr>
                      <w:rFonts w:hint="eastAsia" w:ascii="宋体" w:hAnsi="宋体"/>
                      <w:color w:val="000000"/>
                      <w:sz w:val="18"/>
                      <w:szCs w:val="18"/>
                    </w:rPr>
                    <w:t>粉尘达标排放率100%；废气达标排放率100%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vMerge w:val="restart"/>
                </w:tcPr>
                <w:p>
                  <w:pPr>
                    <w:rPr>
                      <w:rFonts w:ascii="宋体" w:hAnsi="宋体"/>
                      <w:color w:val="000000"/>
                      <w:sz w:val="18"/>
                      <w:szCs w:val="18"/>
                    </w:rPr>
                  </w:pPr>
                  <w:r>
                    <w:rPr>
                      <w:rFonts w:hint="eastAsia" w:ascii="宋体" w:hAnsi="宋体"/>
                      <w:color w:val="000000"/>
                      <w:sz w:val="18"/>
                      <w:szCs w:val="18"/>
                    </w:rPr>
                    <w:t>员工重大伤亡事故为零</w:t>
                  </w:r>
                  <w:r>
                    <w:rPr>
                      <w:rFonts w:hint="eastAsia" w:ascii="宋体" w:hAnsi="宋体"/>
                      <w:color w:val="000000"/>
                      <w:sz w:val="18"/>
                      <w:szCs w:val="18"/>
                      <w:lang w:eastAsia="zh-CN"/>
                    </w:rPr>
                    <w:t>、</w:t>
                  </w:r>
                  <w:r>
                    <w:rPr>
                      <w:rFonts w:hint="eastAsia" w:ascii="宋体" w:hAnsi="宋体"/>
                      <w:color w:val="000000"/>
                      <w:sz w:val="18"/>
                      <w:szCs w:val="18"/>
                    </w:rPr>
                    <w:t>职业病发病率为0</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38" w:type="dxa"/>
                  <w:vMerge w:val="continue"/>
                </w:tcPr>
                <w:p>
                  <w:pPr>
                    <w:spacing w:after="0" w:line="220" w:lineRule="atLeast"/>
                    <w:jc w:val="center"/>
                    <w:rPr>
                      <w:sz w:val="18"/>
                      <w:szCs w:val="18"/>
                    </w:rPr>
                  </w:pPr>
                </w:p>
              </w:tc>
              <w:tc>
                <w:tcPr>
                  <w:tcW w:w="2200" w:type="dxa"/>
                  <w:vMerge w:val="continue"/>
                </w:tcPr>
                <w:p>
                  <w:pPr>
                    <w:spacing w:after="0"/>
                    <w:rPr>
                      <w:sz w:val="18"/>
                      <w:szCs w:val="18"/>
                    </w:rPr>
                  </w:pP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vMerge w:val="continue"/>
                </w:tcPr>
                <w:p>
                  <w:pPr>
                    <w:spacing w:after="0"/>
                    <w:rPr>
                      <w:rFonts w:eastAsia="宋体"/>
                      <w:sz w:val="18"/>
                      <w:szCs w:val="18"/>
                    </w:rPr>
                  </w:pPr>
                </w:p>
              </w:tc>
              <w:tc>
                <w:tcPr>
                  <w:tcW w:w="2321" w:type="dxa"/>
                  <w:vMerge w:val="continue"/>
                </w:tcPr>
                <w:p>
                  <w:pPr>
                    <w:spacing w:after="0"/>
                    <w:rPr>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sz w:val="18"/>
                      <w:szCs w:val="18"/>
                    </w:rPr>
                  </w:pPr>
                  <w:r>
                    <w:rPr>
                      <w:rFonts w:hint="eastAsia"/>
                      <w:sz w:val="18"/>
                      <w:szCs w:val="18"/>
                    </w:rPr>
                    <w:t>固体废弃物（含危废）分类处置率100%；</w:t>
                  </w:r>
                </w:p>
              </w:tc>
              <w:tc>
                <w:tcPr>
                  <w:tcW w:w="2550" w:type="dxa"/>
                  <w:vMerge w:val="continue"/>
                </w:tcPr>
                <w:p>
                  <w:pPr>
                    <w:spacing w:after="0"/>
                    <w:rPr>
                      <w:sz w:val="18"/>
                      <w:szCs w:val="18"/>
                    </w:rPr>
                  </w:pPr>
                </w:p>
              </w:tc>
              <w:tc>
                <w:tcPr>
                  <w:tcW w:w="2321" w:type="dxa"/>
                  <w:vMerge w:val="continue"/>
                </w:tcPr>
                <w:p>
                  <w:pPr>
                    <w:spacing w:after="0"/>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sz w:val="18"/>
                      <w:szCs w:val="18"/>
                    </w:rPr>
                  </w:pPr>
                  <w:r>
                    <w:rPr>
                      <w:rFonts w:hint="eastAsia"/>
                      <w:sz w:val="18"/>
                      <w:szCs w:val="18"/>
                    </w:rPr>
                    <w:t>噪声排放不扰民，民众投诉为0.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sz w:val="18"/>
                      <w:szCs w:val="18"/>
                    </w:rPr>
                  </w:pPr>
                  <w:r>
                    <w:rPr>
                      <w:rFonts w:hint="eastAsia" w:ascii="宋体" w:hAnsi="宋体"/>
                      <w:color w:val="000000"/>
                      <w:sz w:val="18"/>
                      <w:szCs w:val="18"/>
                    </w:rPr>
                    <w:t>产品出厂合格率100%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ascii="宋体" w:hAnsi="宋体"/>
                      <w:color w:val="000000"/>
                      <w:sz w:val="18"/>
                      <w:szCs w:val="18"/>
                    </w:rPr>
                  </w:pPr>
                  <w:r>
                    <w:rPr>
                      <w:rFonts w:hint="eastAsia" w:ascii="宋体" w:hAnsi="宋体"/>
                      <w:color w:val="000000"/>
                      <w:sz w:val="18"/>
                      <w:szCs w:val="18"/>
                    </w:rPr>
                    <w:t>生产工艺执行率100%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line="220" w:lineRule="atLeast"/>
                    <w:rPr>
                      <w:rFonts w:hint="eastAsia" w:ascii="宋体" w:hAnsi="宋体"/>
                      <w:color w:val="000000"/>
                      <w:sz w:val="18"/>
                      <w:szCs w:val="18"/>
                    </w:rPr>
                  </w:pPr>
                  <w:r>
                    <w:rPr>
                      <w:rFonts w:hint="eastAsia" w:ascii="宋体" w:hAnsi="宋体"/>
                      <w:color w:val="000000"/>
                      <w:sz w:val="18"/>
                      <w:szCs w:val="18"/>
                    </w:rPr>
                    <w:t>粉尘达标排放率100%；废气达标排放率100%</w:t>
                  </w:r>
                </w:p>
              </w:tc>
              <w:tc>
                <w:tcPr>
                  <w:tcW w:w="2550" w:type="dxa"/>
                  <w:vMerge w:val="continue"/>
                </w:tcPr>
                <w:p>
                  <w:pPr>
                    <w:spacing w:after="0" w:line="220" w:lineRule="atLeast"/>
                    <w:rPr>
                      <w:sz w:val="18"/>
                      <w:szCs w:val="18"/>
                    </w:rPr>
                  </w:pPr>
                </w:p>
              </w:tc>
              <w:tc>
                <w:tcPr>
                  <w:tcW w:w="2321" w:type="dxa"/>
                  <w:vMerge w:val="continue"/>
                </w:tcPr>
                <w:p>
                  <w:pPr>
                    <w:spacing w:after="0" w:line="220" w:lineRule="atLeast"/>
                    <w:rPr>
                      <w:sz w:val="18"/>
                      <w:szCs w:val="18"/>
                    </w:rPr>
                  </w:pPr>
                </w:p>
              </w:tc>
              <w:tc>
                <w:tcPr>
                  <w:tcW w:w="1160" w:type="dxa"/>
                </w:tcPr>
                <w:p>
                  <w:pPr>
                    <w:spacing w:after="0" w:line="220" w:lineRule="atLeast"/>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38" w:type="dxa"/>
                  <w:vMerge w:val="restart"/>
                </w:tcPr>
                <w:p>
                  <w:pPr>
                    <w:spacing w:after="0" w:line="220" w:lineRule="atLeast"/>
                    <w:jc w:val="center"/>
                    <w:rPr>
                      <w:sz w:val="18"/>
                      <w:szCs w:val="18"/>
                    </w:rPr>
                  </w:pPr>
                  <w:r>
                    <w:rPr>
                      <w:sz w:val="18"/>
                      <w:szCs w:val="18"/>
                    </w:rPr>
                    <w:t>财务部</w:t>
                  </w:r>
                </w:p>
              </w:tc>
              <w:tc>
                <w:tcPr>
                  <w:tcW w:w="2200" w:type="dxa"/>
                </w:tcPr>
                <w:p>
                  <w:pPr>
                    <w:spacing w:after="0" w:line="360" w:lineRule="auto"/>
                    <w:rPr>
                      <w:sz w:val="18"/>
                      <w:szCs w:val="18"/>
                    </w:rPr>
                  </w:pPr>
                  <w:r>
                    <w:rPr>
                      <w:rFonts w:hint="eastAsia" w:ascii="宋体" w:hAnsi="宋体"/>
                      <w:color w:val="000000"/>
                      <w:sz w:val="18"/>
                      <w:szCs w:val="18"/>
                    </w:rPr>
                    <w:t>火灾、爆炸事故为0</w:t>
                  </w:r>
                </w:p>
              </w:tc>
              <w:tc>
                <w:tcPr>
                  <w:tcW w:w="2550" w:type="dxa"/>
                </w:tcPr>
                <w:p>
                  <w:pPr>
                    <w:spacing w:after="0"/>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spacing w:after="0"/>
                    <w:rPr>
                      <w:sz w:val="18"/>
                      <w:szCs w:val="18"/>
                    </w:rPr>
                  </w:pPr>
                  <w:r>
                    <w:rPr>
                      <w:rFonts w:hint="eastAsia" w:ascii="宋体" w:hAnsi="宋体"/>
                      <w:color w:val="000000"/>
                      <w:sz w:val="18"/>
                      <w:szCs w:val="18"/>
                    </w:rPr>
                    <w:t>重大生产安全事故为0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8" w:type="dxa"/>
                  <w:vMerge w:val="continue"/>
                </w:tcPr>
                <w:p>
                  <w:pPr>
                    <w:spacing w:after="0" w:line="220" w:lineRule="atLeast"/>
                    <w:jc w:val="center"/>
                    <w:rPr>
                      <w:sz w:val="18"/>
                      <w:szCs w:val="18"/>
                    </w:rPr>
                  </w:pPr>
                </w:p>
              </w:tc>
              <w:tc>
                <w:tcPr>
                  <w:tcW w:w="2200" w:type="dxa"/>
                </w:tcPr>
                <w:p>
                  <w:pPr>
                    <w:spacing w:after="0"/>
                    <w:rPr>
                      <w:sz w:val="18"/>
                      <w:szCs w:val="18"/>
                    </w:rPr>
                  </w:pPr>
                  <w:r>
                    <w:rPr>
                      <w:rFonts w:hint="eastAsia" w:ascii="宋体" w:hAnsi="宋体"/>
                      <w:color w:val="000000"/>
                      <w:sz w:val="18"/>
                      <w:szCs w:val="18"/>
                    </w:rPr>
                    <w:t>固体废弃物分类处置率100%</w:t>
                  </w:r>
                </w:p>
              </w:tc>
              <w:tc>
                <w:tcPr>
                  <w:tcW w:w="2550" w:type="dxa"/>
                </w:tcPr>
                <w:p>
                  <w:pPr>
                    <w:spacing w:after="0"/>
                    <w:rPr>
                      <w:sz w:val="18"/>
                      <w:szCs w:val="18"/>
                    </w:rPr>
                  </w:pPr>
                  <w:r>
                    <w:rPr>
                      <w:rFonts w:hint="eastAsia"/>
                      <w:sz w:val="18"/>
                      <w:szCs w:val="18"/>
                    </w:rPr>
                    <w:t>公司提供固废收集装置，集中收集处理。</w:t>
                  </w:r>
                </w:p>
              </w:tc>
              <w:tc>
                <w:tcPr>
                  <w:tcW w:w="2321" w:type="dxa"/>
                </w:tcPr>
                <w:p>
                  <w:pPr>
                    <w:spacing w:after="0"/>
                    <w:rPr>
                      <w:sz w:val="18"/>
                      <w:szCs w:val="18"/>
                    </w:rPr>
                  </w:pPr>
                  <w:r>
                    <w:rPr>
                      <w:rFonts w:hint="eastAsia" w:ascii="宋体" w:hAnsi="宋体"/>
                      <w:color w:val="000000"/>
                      <w:sz w:val="18"/>
                      <w:szCs w:val="18"/>
                    </w:rPr>
                    <w:t>生产固体废弃物100%集中处理</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jc w:val="center"/>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环保、安全资金提供及时率100%</w:t>
                  </w:r>
                </w:p>
              </w:tc>
              <w:tc>
                <w:tcPr>
                  <w:tcW w:w="2550" w:type="dxa"/>
                </w:tcPr>
                <w:p>
                  <w:pPr>
                    <w:spacing w:after="0"/>
                    <w:rPr>
                      <w:sz w:val="18"/>
                      <w:szCs w:val="18"/>
                    </w:rPr>
                  </w:pPr>
                  <w:r>
                    <w:rPr>
                      <w:rFonts w:hint="eastAsia"/>
                      <w:sz w:val="18"/>
                      <w:szCs w:val="18"/>
                    </w:rPr>
                    <w:t>查看环保安全投入明细</w:t>
                  </w:r>
                </w:p>
              </w:tc>
              <w:tc>
                <w:tcPr>
                  <w:tcW w:w="2321" w:type="dxa"/>
                </w:tcPr>
                <w:p>
                  <w:pPr>
                    <w:spacing w:after="0"/>
                    <w:rPr>
                      <w:rFonts w:ascii="宋体" w:hAnsi="宋体"/>
                      <w:color w:val="000000"/>
                      <w:sz w:val="18"/>
                      <w:szCs w:val="18"/>
                    </w:rPr>
                  </w:pPr>
                  <w:r>
                    <w:rPr>
                      <w:rFonts w:hint="eastAsia" w:ascii="宋体" w:hAnsi="宋体"/>
                      <w:color w:val="000000"/>
                      <w:sz w:val="18"/>
                      <w:szCs w:val="18"/>
                    </w:rPr>
                    <w:t>环保安全资金提供及时率100%</w:t>
                  </w: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spacing w:after="0" w:line="220" w:lineRule="atLeast"/>
                    <w:rPr>
                      <w:rFonts w:hint="eastAsia" w:eastAsia="微软雅黑"/>
                      <w:sz w:val="18"/>
                      <w:szCs w:val="18"/>
                      <w:lang w:eastAsia="zh-CN"/>
                    </w:rPr>
                  </w:pPr>
                  <w:r>
                    <w:rPr>
                      <w:rFonts w:hint="eastAsia"/>
                      <w:sz w:val="18"/>
                      <w:szCs w:val="18"/>
                      <w:lang w:eastAsia="zh-CN"/>
                    </w:rPr>
                    <w:t>品质部</w:t>
                  </w:r>
                </w:p>
              </w:tc>
              <w:tc>
                <w:tcPr>
                  <w:tcW w:w="2200" w:type="dxa"/>
                </w:tcPr>
                <w:p>
                  <w:pPr>
                    <w:spacing w:after="0"/>
                    <w:rPr>
                      <w:rFonts w:ascii="宋体" w:hAnsi="宋体"/>
                      <w:color w:val="000000"/>
                      <w:sz w:val="18"/>
                      <w:szCs w:val="18"/>
                    </w:rPr>
                  </w:pPr>
                  <w:r>
                    <w:rPr>
                      <w:rFonts w:hint="eastAsia" w:ascii="宋体" w:hAnsi="宋体"/>
                      <w:color w:val="000000"/>
                      <w:sz w:val="18"/>
                      <w:szCs w:val="18"/>
                    </w:rPr>
                    <w:t>产品出厂合格率100%</w:t>
                  </w:r>
                </w:p>
              </w:tc>
              <w:tc>
                <w:tcPr>
                  <w:tcW w:w="2550" w:type="dxa"/>
                </w:tcPr>
                <w:p>
                  <w:pPr>
                    <w:spacing w:after="0"/>
                    <w:rPr>
                      <w:sz w:val="18"/>
                      <w:szCs w:val="18"/>
                    </w:rPr>
                  </w:pPr>
                  <w:r>
                    <w:rPr>
                      <w:rFonts w:hint="eastAsia"/>
                      <w:sz w:val="18"/>
                      <w:szCs w:val="18"/>
                    </w:rPr>
                    <w:t>合格数÷总数×</w:t>
                  </w:r>
                  <w:r>
                    <w:rPr>
                      <w:sz w:val="18"/>
                      <w:szCs w:val="18"/>
                    </w:rPr>
                    <w:t>100%</w:t>
                  </w:r>
                </w:p>
                <w:p>
                  <w:pPr>
                    <w:spacing w:after="0"/>
                    <w:rPr>
                      <w:sz w:val="18"/>
                      <w:szCs w:val="18"/>
                    </w:rPr>
                  </w:pPr>
                </w:p>
              </w:tc>
              <w:tc>
                <w:tcPr>
                  <w:tcW w:w="2321" w:type="dxa"/>
                </w:tcPr>
                <w:p>
                  <w:pPr>
                    <w:spacing w:after="0"/>
                    <w:rPr>
                      <w:sz w:val="18"/>
                      <w:szCs w:val="18"/>
                    </w:rPr>
                  </w:pPr>
                  <w:r>
                    <w:rPr>
                      <w:rFonts w:hint="eastAsia" w:ascii="宋体" w:hAnsi="宋体"/>
                      <w:color w:val="000000"/>
                      <w:sz w:val="18"/>
                      <w:szCs w:val="18"/>
                    </w:rPr>
                    <w:t>项目竣工验收合格率100%</w:t>
                  </w:r>
                </w:p>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rPr>
                      <w:rFonts w:ascii="宋体" w:hAnsi="宋体"/>
                      <w:color w:val="000000"/>
                      <w:sz w:val="18"/>
                      <w:szCs w:val="18"/>
                    </w:rPr>
                  </w:pPr>
                  <w:r>
                    <w:rPr>
                      <w:rFonts w:hint="eastAsia" w:ascii="宋体" w:hAnsi="宋体"/>
                      <w:color w:val="000000"/>
                      <w:sz w:val="18"/>
                      <w:szCs w:val="18"/>
                    </w:rPr>
                    <w:t>监视和测量设备鉴定率100%，合格率100%</w:t>
                  </w:r>
                </w:p>
              </w:tc>
              <w:tc>
                <w:tcPr>
                  <w:tcW w:w="2550" w:type="dxa"/>
                </w:tcPr>
                <w:p>
                  <w:pPr>
                    <w:spacing w:after="0"/>
                    <w:rPr>
                      <w:rFonts w:eastAsia="宋体"/>
                      <w:sz w:val="18"/>
                      <w:szCs w:val="18"/>
                    </w:rPr>
                  </w:pPr>
                  <w:r>
                    <w:rPr>
                      <w:rFonts w:hint="eastAsia"/>
                      <w:sz w:val="18"/>
                      <w:szCs w:val="18"/>
                    </w:rPr>
                    <w:t>检定数÷总数×</w:t>
                  </w:r>
                  <w:r>
                    <w:rPr>
                      <w:sz w:val="18"/>
                      <w:szCs w:val="18"/>
                    </w:rPr>
                    <w:t>100%</w:t>
                  </w:r>
                </w:p>
                <w:p>
                  <w:pPr>
                    <w:spacing w:after="0"/>
                    <w:rPr>
                      <w:sz w:val="18"/>
                      <w:szCs w:val="18"/>
                    </w:rPr>
                  </w:pPr>
                </w:p>
              </w:tc>
              <w:tc>
                <w:tcPr>
                  <w:tcW w:w="2321" w:type="dxa"/>
                </w:tcPr>
                <w:p>
                  <w:pPr>
                    <w:spacing w:after="0"/>
                    <w:rPr>
                      <w:sz w:val="18"/>
                      <w:szCs w:val="18"/>
                    </w:rPr>
                  </w:pPr>
                  <w:r>
                    <w:rPr>
                      <w:rFonts w:hint="eastAsia" w:ascii="宋体" w:hAnsi="宋体"/>
                      <w:color w:val="000000"/>
                      <w:sz w:val="18"/>
                      <w:szCs w:val="18"/>
                    </w:rPr>
                    <w:t>监视和测量设备鉴定率100%</w:t>
                  </w:r>
                </w:p>
                <w:p>
                  <w:pPr>
                    <w:spacing w:after="0"/>
                    <w:rPr>
                      <w:rFonts w:ascii="宋体" w:hAnsi="宋体"/>
                      <w:color w:val="000000"/>
                      <w:sz w:val="18"/>
                      <w:szCs w:val="18"/>
                    </w:rPr>
                  </w:pPr>
                </w:p>
              </w:tc>
              <w:tc>
                <w:tcPr>
                  <w:tcW w:w="1160" w:type="dxa"/>
                </w:tcPr>
                <w:p>
                  <w:pPr>
                    <w:spacing w:after="0"/>
                    <w:jc w:val="cente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rPr>
                      <w:sz w:val="18"/>
                      <w:szCs w:val="18"/>
                    </w:rPr>
                  </w:pPr>
                  <w:r>
                    <w:rPr>
                      <w:rFonts w:hint="eastAsia" w:ascii="宋体" w:hAnsi="宋体"/>
                      <w:color w:val="000000"/>
                      <w:sz w:val="18"/>
                      <w:szCs w:val="18"/>
                    </w:rPr>
                    <w:t>员工重大伤亡事故为零</w:t>
                  </w:r>
                </w:p>
              </w:tc>
              <w:tc>
                <w:tcPr>
                  <w:tcW w:w="2550" w:type="dxa"/>
                </w:tcPr>
                <w:p>
                  <w:pPr>
                    <w:rPr>
                      <w:rFonts w:eastAsia="宋体"/>
                      <w:sz w:val="18"/>
                      <w:szCs w:val="18"/>
                    </w:rPr>
                  </w:pPr>
                  <w:r>
                    <w:rPr>
                      <w:rFonts w:hint="eastAsia"/>
                      <w:sz w:val="18"/>
                      <w:szCs w:val="18"/>
                    </w:rPr>
                    <w:t>查看火灾事故记录</w:t>
                  </w:r>
                </w:p>
              </w:tc>
              <w:tc>
                <w:tcPr>
                  <w:tcW w:w="2321" w:type="dxa"/>
                </w:tcPr>
                <w:p>
                  <w:pPr>
                    <w:rPr>
                      <w:sz w:val="18"/>
                      <w:szCs w:val="18"/>
                    </w:rPr>
                  </w:pPr>
                  <w:r>
                    <w:rPr>
                      <w:rFonts w:hint="eastAsia" w:ascii="宋体" w:hAnsi="宋体"/>
                      <w:color w:val="000000"/>
                      <w:sz w:val="18"/>
                      <w:szCs w:val="18"/>
                    </w:rPr>
                    <w:t>火灾事故为0</w:t>
                  </w:r>
                </w:p>
              </w:tc>
              <w:tc>
                <w:tcPr>
                  <w:tcW w:w="1160" w:type="dxa"/>
                </w:tcPr>
                <w:p>
                  <w:pPr>
                    <w:rPr>
                      <w:sz w:val="18"/>
                      <w:szCs w:val="18"/>
                    </w:rPr>
                  </w:pPr>
                  <w:r>
                    <w:rPr>
                      <w:sz w:val="18"/>
                      <w:szCs w:val="18"/>
                    </w:rPr>
                    <w:t>已经完成</w:t>
                  </w:r>
                </w:p>
              </w:tc>
              <w:tc>
                <w:tcPr>
                  <w:tcW w:w="1459" w:type="dxa"/>
                </w:tcPr>
                <w:p>
                  <w:pPr>
                    <w:spacing w:after="0" w:line="22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spacing w:after="0" w:line="220" w:lineRule="atLeast"/>
                    <w:rPr>
                      <w:sz w:val="18"/>
                      <w:szCs w:val="18"/>
                    </w:rPr>
                  </w:pPr>
                </w:p>
              </w:tc>
              <w:tc>
                <w:tcPr>
                  <w:tcW w:w="2200" w:type="dxa"/>
                </w:tcPr>
                <w:p>
                  <w:pPr>
                    <w:spacing w:after="0" w:line="360" w:lineRule="auto"/>
                    <w:rPr>
                      <w:rFonts w:ascii="宋体" w:hAnsi="宋体"/>
                      <w:color w:val="000000"/>
                      <w:sz w:val="18"/>
                      <w:szCs w:val="18"/>
                    </w:rPr>
                  </w:pPr>
                  <w:r>
                    <w:rPr>
                      <w:rFonts w:hint="eastAsia" w:ascii="宋体" w:hAnsi="宋体"/>
                      <w:color w:val="000000"/>
                      <w:sz w:val="18"/>
                      <w:szCs w:val="18"/>
                    </w:rPr>
                    <w:t>火灾、爆炸事故为0；</w:t>
                  </w:r>
                </w:p>
              </w:tc>
              <w:tc>
                <w:tcPr>
                  <w:tcW w:w="2550" w:type="dxa"/>
                </w:tcPr>
                <w:p>
                  <w:pPr>
                    <w:rPr>
                      <w:rFonts w:eastAsia="宋体"/>
                      <w:sz w:val="18"/>
                      <w:szCs w:val="18"/>
                    </w:rPr>
                  </w:pPr>
                  <w:r>
                    <w:rPr>
                      <w:rFonts w:hint="eastAsia"/>
                      <w:sz w:val="18"/>
                      <w:szCs w:val="18"/>
                    </w:rPr>
                    <w:t>查看</w:t>
                  </w:r>
                  <w:r>
                    <w:rPr>
                      <w:rFonts w:hint="eastAsia" w:ascii="宋体" w:hAnsi="宋体"/>
                      <w:color w:val="000000"/>
                      <w:sz w:val="18"/>
                      <w:szCs w:val="18"/>
                    </w:rPr>
                    <w:t>重大生产安全</w:t>
                  </w:r>
                  <w:r>
                    <w:rPr>
                      <w:rFonts w:hint="eastAsia"/>
                      <w:sz w:val="18"/>
                      <w:szCs w:val="18"/>
                    </w:rPr>
                    <w:t>事故记录</w:t>
                  </w:r>
                </w:p>
              </w:tc>
              <w:tc>
                <w:tcPr>
                  <w:tcW w:w="2321" w:type="dxa"/>
                </w:tcPr>
                <w:p>
                  <w:pPr>
                    <w:rPr>
                      <w:sz w:val="18"/>
                      <w:szCs w:val="18"/>
                    </w:rPr>
                  </w:pPr>
                  <w:r>
                    <w:rPr>
                      <w:rFonts w:hint="eastAsia" w:ascii="宋体" w:hAnsi="宋体"/>
                      <w:color w:val="000000"/>
                      <w:sz w:val="18"/>
                      <w:szCs w:val="18"/>
                    </w:rPr>
                    <w:t>重大生产安全事故为0</w:t>
                  </w:r>
                </w:p>
              </w:tc>
              <w:tc>
                <w:tcPr>
                  <w:tcW w:w="1160" w:type="dxa"/>
                </w:tcPr>
                <w:p>
                  <w:pPr>
                    <w:rPr>
                      <w:sz w:val="18"/>
                      <w:szCs w:val="18"/>
                    </w:rPr>
                  </w:pPr>
                  <w:r>
                    <w:rPr>
                      <w:sz w:val="18"/>
                      <w:szCs w:val="18"/>
                    </w:rPr>
                    <w:t>已经完成</w:t>
                  </w:r>
                </w:p>
              </w:tc>
              <w:tc>
                <w:tcPr>
                  <w:tcW w:w="1459" w:type="dxa"/>
                </w:tcPr>
                <w:p>
                  <w:pPr>
                    <w:spacing w:after="0" w:line="220" w:lineRule="atLeast"/>
                    <w:jc w:val="center"/>
                    <w:rPr>
                      <w:sz w:val="18"/>
                      <w:szCs w:val="18"/>
                    </w:rPr>
                  </w:pPr>
                </w:p>
              </w:tc>
            </w:tr>
          </w:tbl>
          <w:p>
            <w:pPr>
              <w:spacing w:line="360" w:lineRule="auto"/>
              <w:rPr>
                <w:rFonts w:ascii="楷体" w:hAnsi="楷体" w:eastAsia="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color w:val="auto"/>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2019年</w:t>
            </w:r>
            <w:r>
              <w:rPr>
                <w:rFonts w:hint="eastAsia" w:ascii="楷体" w:hAnsi="楷体" w:eastAsia="楷体"/>
                <w:sz w:val="24"/>
                <w:szCs w:val="24"/>
              </w:rPr>
              <w:t>组织环保、安全主要投入到环保设施、固废分类处置、劳保、体检、消防、（高温补助、取暖费）福利费用等投入方面，</w:t>
            </w:r>
            <w:r>
              <w:rPr>
                <w:rFonts w:hint="eastAsia" w:ascii="楷体" w:hAnsi="楷体" w:eastAsia="楷体"/>
                <w:color w:val="auto"/>
                <w:sz w:val="24"/>
                <w:szCs w:val="24"/>
              </w:rPr>
              <w:t>至今支出约</w:t>
            </w:r>
            <w:r>
              <w:rPr>
                <w:rFonts w:hint="eastAsia" w:ascii="楷体" w:hAnsi="楷体" w:eastAsia="楷体"/>
                <w:color w:val="auto"/>
                <w:sz w:val="24"/>
                <w:szCs w:val="24"/>
                <w:lang w:val="en-US" w:eastAsia="zh-CN"/>
              </w:rPr>
              <w:t>3万</w:t>
            </w:r>
            <w:r>
              <w:rPr>
                <w:rFonts w:hint="eastAsia" w:ascii="楷体" w:hAnsi="楷体" w:eastAsia="楷体"/>
                <w:color w:val="auto"/>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聂希</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聂希</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邓晟</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徐</w:t>
            </w:r>
            <w:r>
              <w:rPr>
                <w:rFonts w:hint="eastAsia" w:ascii="楷体" w:hAnsi="楷体" w:eastAsia="楷体" w:cs="宋体"/>
                <w:color w:val="000000"/>
                <w:kern w:val="0"/>
                <w:sz w:val="24"/>
                <w:szCs w:val="24"/>
                <w:lang w:val="en-US" w:eastAsia="zh-CN"/>
              </w:rPr>
              <w:t>爱如</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hint="eastAsia" w:ascii="楷体" w:hAnsi="楷体" w:eastAsia="楷体"/>
                <w:sz w:val="24"/>
                <w:szCs w:val="24"/>
                <w:lang w:val="en-US" w:eastAsia="zh-CN"/>
              </w:rPr>
              <w:t>2020.1.16</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杨惠</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楷体" w:hAnsi="楷体" w:eastAsia="楷体" w:cs="楷体"/>
                <w:color w:val="000000"/>
                <w:sz w:val="24"/>
              </w:rPr>
            </w:pPr>
            <w:r>
              <w:rPr>
                <w:rFonts w:hint="eastAsia" w:ascii="楷体" w:hAnsi="楷体" w:eastAsia="楷体"/>
                <w:sz w:val="24"/>
                <w:szCs w:val="24"/>
              </w:rPr>
              <w:t>提出了3项改进措施</w:t>
            </w:r>
            <w:r>
              <w:rPr>
                <w:rFonts w:ascii="楷体" w:hAnsi="楷体" w:eastAsia="楷体"/>
                <w:sz w:val="24"/>
                <w:szCs w:val="24"/>
              </w:rPr>
              <w:t xml:space="preserve">: </w:t>
            </w:r>
            <w:r>
              <w:rPr>
                <w:rFonts w:hint="eastAsia" w:ascii="楷体" w:hAnsi="楷体" w:eastAsia="楷体" w:cs="楷体"/>
                <w:color w:val="000000"/>
                <w:sz w:val="24"/>
              </w:rPr>
              <w:t>1）进一步组织对ISO 9001：2015、ISO 14001：2015、</w:t>
            </w:r>
            <w:r>
              <w:rPr>
                <w:rFonts w:hint="eastAsia" w:ascii="楷体" w:hAnsi="楷体" w:eastAsia="楷体" w:cs="楷体"/>
                <w:color w:val="000000"/>
                <w:sz w:val="24"/>
                <w:lang w:eastAsia="zh-CN"/>
              </w:rPr>
              <w:t>ISO45001：2018</w:t>
            </w:r>
            <w:r>
              <w:rPr>
                <w:rFonts w:hint="eastAsia" w:ascii="楷体" w:hAnsi="楷体" w:eastAsia="楷体" w:cs="楷体"/>
                <w:color w:val="000000"/>
                <w:sz w:val="24"/>
              </w:rPr>
              <w:t>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2）进一步组织对相关的法律、法规、规程和规范的学习，以增强广大技术人员的质量意识环境保护意识；</w:t>
            </w:r>
          </w:p>
          <w:p>
            <w:pPr>
              <w:spacing w:line="400" w:lineRule="exact"/>
              <w:ind w:firstLine="480"/>
              <w:rPr>
                <w:rFonts w:hint="eastAsia" w:ascii="楷体" w:hAnsi="楷体" w:eastAsia="楷体" w:cs="楷体"/>
                <w:color w:val="000000"/>
                <w:sz w:val="24"/>
              </w:rPr>
            </w:pPr>
            <w:r>
              <w:rPr>
                <w:rFonts w:hint="eastAsia" w:ascii="楷体" w:hAnsi="楷体" w:eastAsia="楷体" w:cs="楷体"/>
                <w:color w:val="000000"/>
                <w:sz w:val="24"/>
              </w:rPr>
              <w:t>3）</w:t>
            </w:r>
            <w:r>
              <w:rPr>
                <w:rFonts w:hint="eastAsia" w:ascii="楷体" w:hAnsi="楷体" w:eastAsia="楷体" w:cs="楷体"/>
                <w:sz w:val="24"/>
              </w:rPr>
              <w:t>加强对风险管控知识的学习，由</w:t>
            </w:r>
            <w:r>
              <w:rPr>
                <w:rFonts w:hint="eastAsia" w:ascii="楷体" w:hAnsi="楷体" w:eastAsia="楷体" w:cs="楷体"/>
                <w:sz w:val="24"/>
                <w:lang w:eastAsia="zh-CN"/>
              </w:rPr>
              <w:t>行政部</w:t>
            </w:r>
            <w:r>
              <w:rPr>
                <w:rFonts w:hint="eastAsia" w:ascii="楷体" w:hAnsi="楷体" w:eastAsia="楷体" w:cs="楷体"/>
                <w:sz w:val="24"/>
              </w:rPr>
              <w:t>进行调研，并制定详细的实施计划；</w:t>
            </w:r>
          </w:p>
          <w:p>
            <w:pPr>
              <w:spacing w:line="36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rPr>
                <w:rFonts w:hint="eastAsia" w:ascii="楷体" w:hAnsi="楷体" w:eastAsia="楷体"/>
                <w:sz w:val="24"/>
                <w:szCs w:val="24"/>
                <w:lang w:eastAsia="zh-CN"/>
              </w:rPr>
              <w:pict>
                <v:shape id="_x0000_i1025" o:spt="75" alt="1 001" type="#_x0000_t75" style="height:321.95pt;width:228.25pt;" filled="f" o:preferrelative="t" stroked="f" coordsize="21600,21600">
                  <v:path/>
                  <v:fill on="f" focussize="0,0"/>
                  <v:stroke on="f"/>
                  <v:imagedata r:id="rId6" o:title="1 001"/>
                  <o:lock v:ext="edit" aspectratio="t"/>
                  <w10:wrap type="none"/>
                  <w10:anchorlock/>
                </v:shape>
              </w:pict>
            </w:r>
            <w:bookmarkStart w:id="2" w:name="_GoBack"/>
            <w:bookmarkEnd w:id="2"/>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3"/>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86E6A5B"/>
    <w:rsid w:val="108219C2"/>
    <w:rsid w:val="18DA4B79"/>
    <w:rsid w:val="35107CFD"/>
    <w:rsid w:val="5876344A"/>
    <w:rsid w:val="5EA12B9A"/>
    <w:rsid w:val="5F9907E3"/>
    <w:rsid w:val="6F1216C3"/>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页眉 Char"/>
    <w:link w:val="4"/>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12</TotalTime>
  <ScaleCrop>false</ScaleCrop>
  <LinksUpToDate>false</LinksUpToDate>
  <CharactersWithSpaces>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2020-04-16T02:28:08Z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