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楷体" w:hAnsi="楷体" w:eastAsia="楷体"/>
          <w:bCs/>
          <w:sz w:val="36"/>
          <w:szCs w:val="36"/>
        </w:rPr>
      </w:pPr>
      <w:r>
        <w:rPr>
          <w:rFonts w:hint="eastAsia" w:ascii="楷体" w:hAnsi="楷体" w:eastAsia="楷体"/>
          <w:bCs/>
          <w:sz w:val="36"/>
          <w:szCs w:val="36"/>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1276"/>
        <w:gridCol w:w="10606"/>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242" w:type="dxa"/>
            <w:vMerge w:val="restart"/>
            <w:vAlign w:val="center"/>
          </w:tcPr>
          <w:p>
            <w:pPr>
              <w:spacing w:before="120" w:line="360" w:lineRule="auto"/>
              <w:jc w:val="center"/>
              <w:rPr>
                <w:rFonts w:ascii="楷体" w:hAnsi="楷体" w:eastAsia="楷体"/>
                <w:sz w:val="24"/>
                <w:szCs w:val="24"/>
              </w:rPr>
            </w:pPr>
            <w:r>
              <w:rPr>
                <w:rFonts w:hint="eastAsia" w:ascii="楷体" w:hAnsi="楷体" w:eastAsia="楷体"/>
                <w:sz w:val="24"/>
                <w:szCs w:val="24"/>
              </w:rPr>
              <w:t>过程与活动、</w:t>
            </w:r>
          </w:p>
          <w:p>
            <w:pPr>
              <w:spacing w:line="360" w:lineRule="auto"/>
              <w:jc w:val="center"/>
              <w:rPr>
                <w:rFonts w:ascii="楷体" w:hAnsi="楷体" w:eastAsia="楷体"/>
                <w:sz w:val="24"/>
                <w:szCs w:val="24"/>
              </w:rPr>
            </w:pPr>
            <w:r>
              <w:rPr>
                <w:rFonts w:hint="eastAsia" w:ascii="楷体" w:hAnsi="楷体" w:eastAsia="楷体"/>
                <w:sz w:val="24"/>
                <w:szCs w:val="24"/>
              </w:rPr>
              <w:t>抽样计划</w:t>
            </w:r>
          </w:p>
        </w:tc>
        <w:tc>
          <w:tcPr>
            <w:tcW w:w="1276" w:type="dxa"/>
            <w:vMerge w:val="restart"/>
            <w:vAlign w:val="center"/>
          </w:tcPr>
          <w:p>
            <w:pPr>
              <w:spacing w:line="360" w:lineRule="auto"/>
              <w:rPr>
                <w:rFonts w:ascii="楷体" w:hAnsi="楷体" w:eastAsia="楷体"/>
                <w:sz w:val="24"/>
                <w:szCs w:val="24"/>
              </w:rPr>
            </w:pPr>
            <w:r>
              <w:rPr>
                <w:rFonts w:hint="eastAsia" w:ascii="楷体" w:hAnsi="楷体" w:eastAsia="楷体"/>
                <w:sz w:val="24"/>
                <w:szCs w:val="24"/>
              </w:rPr>
              <w:t>涉及条款</w:t>
            </w:r>
          </w:p>
        </w:tc>
        <w:tc>
          <w:tcPr>
            <w:tcW w:w="10606" w:type="dxa"/>
            <w:vAlign w:val="center"/>
          </w:tcPr>
          <w:p>
            <w:pPr>
              <w:spacing w:line="360" w:lineRule="auto"/>
              <w:rPr>
                <w:rFonts w:ascii="楷体" w:hAnsi="楷体" w:eastAsia="楷体"/>
                <w:sz w:val="24"/>
                <w:szCs w:val="24"/>
              </w:rPr>
            </w:pPr>
            <w:r>
              <w:rPr>
                <w:rFonts w:hint="eastAsia" w:ascii="楷体" w:hAnsi="楷体" w:eastAsia="楷体"/>
                <w:sz w:val="24"/>
                <w:szCs w:val="24"/>
              </w:rPr>
              <w:t>受审核部门：行政部  主管领导：邓晟</w:t>
            </w:r>
            <w:r>
              <w:rPr>
                <w:rFonts w:hint="eastAsia"/>
                <w:szCs w:val="22"/>
              </w:rPr>
              <w:t xml:space="preserve">  </w:t>
            </w:r>
            <w:r>
              <w:rPr>
                <w:rFonts w:hint="eastAsia" w:ascii="楷体" w:hAnsi="楷体" w:eastAsia="楷体"/>
                <w:sz w:val="24"/>
                <w:szCs w:val="24"/>
              </w:rPr>
              <w:t>陪同人员：徐爱如</w:t>
            </w:r>
          </w:p>
        </w:tc>
        <w:tc>
          <w:tcPr>
            <w:tcW w:w="1585" w:type="dxa"/>
            <w:vMerge w:val="restart"/>
            <w:vAlign w:val="center"/>
          </w:tcPr>
          <w:p>
            <w:pPr>
              <w:spacing w:line="360" w:lineRule="auto"/>
              <w:rPr>
                <w:rFonts w:ascii="楷体" w:hAnsi="楷体" w:eastAsia="楷体"/>
                <w:sz w:val="24"/>
                <w:szCs w:val="24"/>
              </w:rPr>
            </w:pPr>
            <w:r>
              <w:rPr>
                <w:rFonts w:hint="eastAsia" w:ascii="楷体" w:hAnsi="楷体" w:eastAsia="楷体"/>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242" w:type="dxa"/>
            <w:vMerge w:val="continue"/>
            <w:vAlign w:val="center"/>
          </w:tcPr>
          <w:p>
            <w:pPr>
              <w:spacing w:line="360" w:lineRule="auto"/>
              <w:rPr>
                <w:rFonts w:ascii="楷体" w:hAnsi="楷体" w:eastAsia="楷体"/>
                <w:sz w:val="24"/>
                <w:szCs w:val="24"/>
              </w:rPr>
            </w:pPr>
          </w:p>
        </w:tc>
        <w:tc>
          <w:tcPr>
            <w:tcW w:w="1276" w:type="dxa"/>
            <w:vMerge w:val="continue"/>
            <w:vAlign w:val="center"/>
          </w:tcPr>
          <w:p>
            <w:pPr>
              <w:spacing w:line="360" w:lineRule="auto"/>
              <w:rPr>
                <w:rFonts w:ascii="楷体" w:hAnsi="楷体" w:eastAsia="楷体"/>
                <w:sz w:val="24"/>
                <w:szCs w:val="24"/>
              </w:rPr>
            </w:pPr>
          </w:p>
        </w:tc>
        <w:tc>
          <w:tcPr>
            <w:tcW w:w="10606" w:type="dxa"/>
            <w:vAlign w:val="center"/>
          </w:tcPr>
          <w:p>
            <w:pPr>
              <w:spacing w:before="120" w:line="360" w:lineRule="auto"/>
              <w:rPr>
                <w:rFonts w:ascii="楷体" w:hAnsi="楷体" w:eastAsia="楷体"/>
                <w:sz w:val="24"/>
                <w:szCs w:val="24"/>
              </w:rPr>
            </w:pPr>
            <w:r>
              <w:rPr>
                <w:rFonts w:hint="eastAsia" w:ascii="楷体" w:hAnsi="楷体" w:eastAsia="楷体"/>
                <w:sz w:val="24"/>
                <w:szCs w:val="24"/>
              </w:rPr>
              <w:t>审核员：文波  审核时间：2020.4.15</w:t>
            </w:r>
          </w:p>
        </w:tc>
        <w:tc>
          <w:tcPr>
            <w:tcW w:w="1585" w:type="dxa"/>
            <w:vMerge w:val="continue"/>
          </w:tcPr>
          <w:p>
            <w:pPr>
              <w:spacing w:line="360" w:lineRule="auto"/>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242" w:type="dxa"/>
            <w:vMerge w:val="continue"/>
            <w:vAlign w:val="center"/>
          </w:tcPr>
          <w:p>
            <w:pPr>
              <w:spacing w:line="360" w:lineRule="auto"/>
              <w:rPr>
                <w:rFonts w:ascii="楷体" w:hAnsi="楷体" w:eastAsia="楷体"/>
                <w:sz w:val="24"/>
                <w:szCs w:val="24"/>
              </w:rPr>
            </w:pPr>
          </w:p>
        </w:tc>
        <w:tc>
          <w:tcPr>
            <w:tcW w:w="1276" w:type="dxa"/>
            <w:vMerge w:val="continue"/>
            <w:vAlign w:val="center"/>
          </w:tcPr>
          <w:p>
            <w:pPr>
              <w:spacing w:line="360" w:lineRule="auto"/>
              <w:rPr>
                <w:rFonts w:ascii="楷体" w:hAnsi="楷体" w:eastAsia="楷体"/>
                <w:sz w:val="24"/>
                <w:szCs w:val="24"/>
              </w:rPr>
            </w:pPr>
          </w:p>
        </w:tc>
        <w:tc>
          <w:tcPr>
            <w:tcW w:w="10606" w:type="dxa"/>
            <w:vAlign w:val="center"/>
          </w:tcPr>
          <w:p>
            <w:pPr>
              <w:adjustRightInd w:val="0"/>
              <w:snapToGrid w:val="0"/>
              <w:ind w:right="105" w:rightChars="50"/>
              <w:textAlignment w:val="baseline"/>
              <w:rPr>
                <w:rFonts w:ascii="楷体" w:hAnsi="楷体" w:eastAsia="楷体" w:cs="宋体"/>
                <w:szCs w:val="21"/>
              </w:rPr>
            </w:pPr>
            <w:r>
              <w:rPr>
                <w:rFonts w:hint="eastAsia" w:ascii="楷体" w:hAnsi="楷体" w:eastAsia="楷体" w:cs="宋体"/>
                <w:szCs w:val="21"/>
              </w:rPr>
              <w:t xml:space="preserve">审核条款：QMS: 5.3组织的岗位、职责和权限、6.2质量目标、7.1.2人员、7.1.6组织知识、7.2能力、7.3意识、7.5.1形成文件的信息总则、7.5.2形成文件的信息的创建和更新、7.5.3形成文件的信息的控制、9.1.1监视、测量、分析和评价总则、9.1.3分析与评价、9.2 内部审核、10.2不合格和纠正措施， </w:t>
            </w:r>
          </w:p>
          <w:p>
            <w:pPr>
              <w:adjustRightInd w:val="0"/>
              <w:snapToGrid w:val="0"/>
              <w:ind w:right="105" w:rightChars="50"/>
              <w:textAlignment w:val="baseline"/>
              <w:rPr>
                <w:rFonts w:ascii="楷体" w:hAnsi="楷体" w:eastAsia="楷体" w:cs="宋体"/>
                <w:szCs w:val="21"/>
              </w:rPr>
            </w:pPr>
            <w:r>
              <w:rPr>
                <w:rFonts w:hint="eastAsia" w:ascii="楷体" w:hAnsi="楷体" w:eastAsia="楷体" w:cs="宋体"/>
                <w:szCs w:val="21"/>
              </w:rPr>
              <w:t>EMS: 5.3组织的岗位、职责和权限、6.2.1环境目标、6.2.2实现环境目标措施的策划7.2能力、7.3意识、7.5.1形成文件的信息总则、7.5.2形成文件的信息的创建和更新、7.5.3形成文件的信息的控制、9.2 内部审核、10.2不符合/事件和纠正措施，6.1.2环境因素的识别与评价、6.1.3合规义务、6.1.4措施的策划、8.1运行策划和控制、9.1监视、测量、分析和评价（9.1.1总则、9.1.2合规性评价）、8.2应急准备和响应,</w:t>
            </w:r>
          </w:p>
          <w:p>
            <w:pPr>
              <w:adjustRightInd w:val="0"/>
              <w:snapToGrid w:val="0"/>
              <w:ind w:right="105" w:rightChars="50"/>
              <w:textAlignment w:val="baseline"/>
              <w:rPr>
                <w:rFonts w:ascii="楷体" w:hAnsi="楷体" w:eastAsia="楷体" w:cs="宋体"/>
                <w:szCs w:val="21"/>
              </w:rPr>
            </w:pPr>
            <w:bookmarkStart w:id="0" w:name="_GoBack"/>
            <w:bookmarkEnd w:id="0"/>
          </w:p>
        </w:tc>
        <w:tc>
          <w:tcPr>
            <w:tcW w:w="1585" w:type="dxa"/>
            <w:vMerge w:val="continue"/>
          </w:tcPr>
          <w:p>
            <w:pPr>
              <w:spacing w:line="360" w:lineRule="auto"/>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7" w:hRule="atLeast"/>
        </w:trPr>
        <w:tc>
          <w:tcPr>
            <w:tcW w:w="1242" w:type="dxa"/>
            <w:vAlign w:val="center"/>
          </w:tcPr>
          <w:p>
            <w:pPr>
              <w:spacing w:line="360" w:lineRule="auto"/>
              <w:rPr>
                <w:rFonts w:ascii="楷体" w:hAnsi="楷体" w:eastAsia="楷体"/>
                <w:b/>
                <w:sz w:val="24"/>
                <w:szCs w:val="24"/>
              </w:rPr>
            </w:pPr>
            <w:r>
              <w:rPr>
                <w:rFonts w:hint="eastAsia" w:ascii="楷体" w:hAnsi="楷体" w:eastAsia="楷体" w:cs="Arial"/>
                <w:sz w:val="24"/>
                <w:szCs w:val="24"/>
              </w:rPr>
              <w:t>组织的岗位、职责和权限</w:t>
            </w:r>
          </w:p>
        </w:tc>
        <w:tc>
          <w:tcPr>
            <w:tcW w:w="1276" w:type="dxa"/>
          </w:tcPr>
          <w:p>
            <w:pPr>
              <w:spacing w:line="360" w:lineRule="auto"/>
              <w:rPr>
                <w:rFonts w:ascii="楷体" w:hAnsi="楷体" w:eastAsia="楷体" w:cs="Arial"/>
                <w:sz w:val="24"/>
                <w:szCs w:val="24"/>
              </w:rPr>
            </w:pPr>
            <w:r>
              <w:rPr>
                <w:rFonts w:hint="eastAsia" w:ascii="楷体" w:hAnsi="楷体" w:eastAsia="楷体" w:cs="Arial"/>
                <w:sz w:val="24"/>
                <w:szCs w:val="24"/>
              </w:rPr>
              <w:t>Q5.3</w:t>
            </w:r>
          </w:p>
          <w:p>
            <w:pPr>
              <w:spacing w:line="360" w:lineRule="auto"/>
              <w:rPr>
                <w:rFonts w:ascii="楷体" w:hAnsi="楷体" w:eastAsia="楷体" w:cs="Arial"/>
                <w:sz w:val="24"/>
                <w:szCs w:val="24"/>
              </w:rPr>
            </w:pPr>
            <w:r>
              <w:rPr>
                <w:rFonts w:hint="eastAsia" w:ascii="楷体" w:hAnsi="楷体" w:eastAsia="楷体" w:cs="Arial"/>
                <w:sz w:val="24"/>
                <w:szCs w:val="24"/>
              </w:rPr>
              <w:t>E5.3</w:t>
            </w:r>
          </w:p>
          <w:p>
            <w:pPr>
              <w:spacing w:line="360" w:lineRule="auto"/>
              <w:rPr>
                <w:rFonts w:ascii="楷体" w:hAnsi="楷体" w:eastAsia="楷体" w:cs="Arial"/>
                <w:sz w:val="24"/>
                <w:szCs w:val="24"/>
              </w:rPr>
            </w:pPr>
          </w:p>
        </w:tc>
        <w:tc>
          <w:tcPr>
            <w:tcW w:w="10606" w:type="dxa"/>
          </w:tcPr>
          <w:p>
            <w:pPr>
              <w:spacing w:beforeLines="69" w:line="360" w:lineRule="auto"/>
              <w:ind w:firstLine="480" w:firstLineChars="200"/>
              <w:rPr>
                <w:rFonts w:ascii="楷体" w:hAnsi="楷体" w:eastAsia="楷体"/>
                <w:sz w:val="24"/>
                <w:szCs w:val="24"/>
              </w:rPr>
            </w:pPr>
            <w:r>
              <w:rPr>
                <w:rFonts w:hint="eastAsia" w:ascii="楷体" w:hAnsi="楷体" w:eastAsia="楷体" w:cs="宋体"/>
                <w:sz w:val="24"/>
                <w:szCs w:val="24"/>
              </w:rPr>
              <w:t>现场审核了解到部门主要负责：质量环境安全目标方案的制定实施，办公用品的管理，信息交流与沟通，人力资源配备，员工招聘、绩效考核管理；劳动合同保险管理及员工职业健康体检；后勤事务管理；企业知识的识别更新传递；文件记录的管理控制；环境因素和危险源进行识别和控制；体系运行检查、内审、法律法规收集及合规性评价，应急准备和相应控制，不符合纠正与预防，事故事件调查处理等。</w:t>
            </w:r>
          </w:p>
        </w:tc>
        <w:tc>
          <w:tcPr>
            <w:tcW w:w="1585" w:type="dxa"/>
          </w:tcPr>
          <w:p>
            <w:pPr>
              <w:spacing w:line="360" w:lineRule="auto"/>
              <w:rPr>
                <w:rFonts w:ascii="楷体" w:hAnsi="楷体" w:eastAsia="楷体"/>
                <w:sz w:val="24"/>
                <w:szCs w:val="24"/>
              </w:rPr>
            </w:pPr>
            <w:r>
              <w:rPr>
                <w:rFonts w:ascii="楷体" w:hAnsi="楷体" w:eastAsia="楷体"/>
                <w:sz w:val="24"/>
                <w:szCs w:val="24"/>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242" w:type="dxa"/>
            <w:vAlign w:val="center"/>
          </w:tcPr>
          <w:p>
            <w:pPr>
              <w:spacing w:line="360" w:lineRule="auto"/>
              <w:rPr>
                <w:rFonts w:ascii="楷体" w:hAnsi="楷体" w:eastAsia="楷体" w:cs="宋体"/>
                <w:sz w:val="24"/>
                <w:szCs w:val="24"/>
              </w:rPr>
            </w:pPr>
            <w:r>
              <w:rPr>
                <w:rFonts w:hint="eastAsia" w:ascii="楷体" w:hAnsi="楷体" w:eastAsia="楷体" w:cs="宋体"/>
                <w:sz w:val="24"/>
                <w:szCs w:val="24"/>
              </w:rPr>
              <w:t>目标和方案</w:t>
            </w:r>
          </w:p>
        </w:tc>
        <w:tc>
          <w:tcPr>
            <w:tcW w:w="1276" w:type="dxa"/>
            <w:vAlign w:val="center"/>
          </w:tcPr>
          <w:p>
            <w:pPr>
              <w:spacing w:line="360" w:lineRule="auto"/>
              <w:rPr>
                <w:rFonts w:ascii="楷体" w:hAnsi="楷体" w:eastAsia="楷体" w:cs="宋体"/>
                <w:sz w:val="24"/>
                <w:szCs w:val="24"/>
              </w:rPr>
            </w:pPr>
            <w:r>
              <w:rPr>
                <w:rFonts w:hint="eastAsia" w:ascii="楷体" w:hAnsi="楷体" w:eastAsia="楷体" w:cs="宋体"/>
                <w:sz w:val="24"/>
                <w:szCs w:val="24"/>
              </w:rPr>
              <w:t>Q6.2</w:t>
            </w:r>
          </w:p>
          <w:p>
            <w:pPr>
              <w:spacing w:line="360" w:lineRule="auto"/>
              <w:rPr>
                <w:rFonts w:ascii="楷体" w:hAnsi="楷体" w:eastAsia="楷体" w:cs="宋体"/>
                <w:sz w:val="24"/>
                <w:szCs w:val="24"/>
              </w:rPr>
            </w:pPr>
            <w:r>
              <w:rPr>
                <w:rFonts w:hint="eastAsia" w:ascii="楷体" w:hAnsi="楷体" w:eastAsia="楷体" w:cs="宋体"/>
                <w:sz w:val="24"/>
                <w:szCs w:val="24"/>
              </w:rPr>
              <w:t>E6.2</w:t>
            </w:r>
          </w:p>
          <w:p>
            <w:pPr>
              <w:spacing w:line="360" w:lineRule="auto"/>
              <w:rPr>
                <w:rFonts w:ascii="楷体" w:hAnsi="楷体" w:eastAsia="楷体" w:cs="宋体"/>
                <w:sz w:val="24"/>
                <w:szCs w:val="24"/>
              </w:rPr>
            </w:pPr>
          </w:p>
        </w:tc>
        <w:tc>
          <w:tcPr>
            <w:tcW w:w="10606" w:type="dxa"/>
            <w:vAlign w:val="center"/>
          </w:tcPr>
          <w:p>
            <w:pPr>
              <w:autoSpaceDE w:val="0"/>
              <w:autoSpaceDN w:val="0"/>
              <w:spacing w:line="360" w:lineRule="auto"/>
              <w:ind w:firstLine="480" w:firstLineChars="200"/>
              <w:rPr>
                <w:rFonts w:ascii="楷体" w:hAnsi="楷体" w:eastAsia="楷体" w:cs="宋体"/>
                <w:sz w:val="24"/>
                <w:szCs w:val="24"/>
              </w:rPr>
            </w:pPr>
            <w:r>
              <w:rPr>
                <w:rFonts w:ascii="楷体" w:hAnsi="楷体" w:eastAsia="楷体" w:cs="宋体"/>
                <w:sz w:val="24"/>
                <w:szCs w:val="24"/>
              </w:rPr>
              <w:t>查行政部目标</w:t>
            </w:r>
            <w:r>
              <w:rPr>
                <w:rFonts w:hint="eastAsia" w:ascii="楷体" w:hAnsi="楷体" w:eastAsia="楷体" w:cs="宋体"/>
                <w:sz w:val="24"/>
                <w:szCs w:val="24"/>
              </w:rPr>
              <w:t>：</w:t>
            </w:r>
          </w:p>
          <w:tbl>
            <w:tblPr>
              <w:tblStyle w:val="11"/>
              <w:tblW w:w="103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2906"/>
              <w:gridCol w:w="3131"/>
              <w:gridCol w:w="2242"/>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6" w:type="dxa"/>
                </w:tcPr>
                <w:p>
                  <w:pPr>
                    <w:spacing w:line="220" w:lineRule="atLeast"/>
                    <w:jc w:val="center"/>
                    <w:rPr>
                      <w:rFonts w:ascii="楷体" w:hAnsi="楷体" w:eastAsia="楷体" w:cs="宋体"/>
                      <w:sz w:val="24"/>
                      <w:szCs w:val="24"/>
                    </w:rPr>
                  </w:pPr>
                  <w:r>
                    <w:rPr>
                      <w:rFonts w:ascii="楷体" w:hAnsi="楷体" w:eastAsia="楷体" w:cs="宋体"/>
                      <w:sz w:val="24"/>
                      <w:szCs w:val="24"/>
                    </w:rPr>
                    <w:t>部门</w:t>
                  </w:r>
                </w:p>
              </w:tc>
              <w:tc>
                <w:tcPr>
                  <w:tcW w:w="2906" w:type="dxa"/>
                </w:tcPr>
                <w:p>
                  <w:pPr>
                    <w:spacing w:line="220" w:lineRule="atLeast"/>
                    <w:jc w:val="center"/>
                    <w:rPr>
                      <w:rFonts w:ascii="楷体" w:hAnsi="楷体" w:eastAsia="楷体" w:cs="宋体"/>
                      <w:sz w:val="24"/>
                      <w:szCs w:val="24"/>
                    </w:rPr>
                  </w:pPr>
                  <w:r>
                    <w:rPr>
                      <w:rFonts w:ascii="楷体" w:hAnsi="楷体" w:eastAsia="楷体" w:cs="宋体"/>
                      <w:sz w:val="24"/>
                      <w:szCs w:val="24"/>
                    </w:rPr>
                    <w:t>目标</w:t>
                  </w:r>
                </w:p>
              </w:tc>
              <w:tc>
                <w:tcPr>
                  <w:tcW w:w="3131" w:type="dxa"/>
                </w:tcPr>
                <w:p>
                  <w:pPr>
                    <w:spacing w:line="220" w:lineRule="atLeast"/>
                    <w:jc w:val="center"/>
                    <w:rPr>
                      <w:rFonts w:ascii="楷体" w:hAnsi="楷体" w:eastAsia="楷体" w:cs="宋体"/>
                      <w:sz w:val="24"/>
                      <w:szCs w:val="24"/>
                    </w:rPr>
                  </w:pPr>
                  <w:r>
                    <w:rPr>
                      <w:rFonts w:ascii="楷体" w:hAnsi="楷体" w:eastAsia="楷体" w:cs="宋体"/>
                      <w:sz w:val="24"/>
                      <w:szCs w:val="24"/>
                    </w:rPr>
                    <w:t>考核方式</w:t>
                  </w:r>
                </w:p>
              </w:tc>
              <w:tc>
                <w:tcPr>
                  <w:tcW w:w="2242" w:type="dxa"/>
                </w:tcPr>
                <w:p>
                  <w:pPr>
                    <w:spacing w:line="220" w:lineRule="atLeast"/>
                    <w:jc w:val="center"/>
                    <w:rPr>
                      <w:rFonts w:ascii="楷体" w:hAnsi="楷体" w:eastAsia="楷体" w:cs="宋体"/>
                      <w:sz w:val="24"/>
                      <w:szCs w:val="24"/>
                    </w:rPr>
                  </w:pPr>
                  <w:r>
                    <w:rPr>
                      <w:rFonts w:ascii="楷体" w:hAnsi="楷体" w:eastAsia="楷体" w:cs="宋体"/>
                      <w:sz w:val="24"/>
                      <w:szCs w:val="24"/>
                    </w:rPr>
                    <w:t>考核结果</w:t>
                  </w:r>
                </w:p>
              </w:tc>
              <w:tc>
                <w:tcPr>
                  <w:tcW w:w="1332" w:type="dxa"/>
                </w:tcPr>
                <w:p>
                  <w:pPr>
                    <w:spacing w:line="220" w:lineRule="atLeast"/>
                    <w:jc w:val="center"/>
                    <w:rPr>
                      <w:rFonts w:ascii="楷体" w:hAnsi="楷体" w:eastAsia="楷体" w:cs="宋体"/>
                      <w:sz w:val="24"/>
                      <w:szCs w:val="24"/>
                    </w:rPr>
                  </w:pPr>
                  <w:r>
                    <w:rPr>
                      <w:rFonts w:ascii="楷体" w:hAnsi="楷体" w:eastAsia="楷体" w:cs="宋体"/>
                      <w:sz w:val="24"/>
                      <w:szCs w:val="24"/>
                    </w:rPr>
                    <w:t>完成情况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766" w:type="dxa"/>
                  <w:vMerge w:val="restart"/>
                  <w:vAlign w:val="center"/>
                </w:tcPr>
                <w:p>
                  <w:pPr>
                    <w:spacing w:line="220" w:lineRule="atLeast"/>
                    <w:jc w:val="center"/>
                    <w:rPr>
                      <w:rFonts w:ascii="楷体" w:hAnsi="楷体" w:eastAsia="楷体"/>
                      <w:szCs w:val="21"/>
                    </w:rPr>
                  </w:pPr>
                  <w:r>
                    <w:rPr>
                      <w:rFonts w:ascii="楷体" w:hAnsi="楷体" w:eastAsia="楷体"/>
                      <w:szCs w:val="21"/>
                    </w:rPr>
                    <w:t>行政部</w:t>
                  </w:r>
                </w:p>
              </w:tc>
              <w:tc>
                <w:tcPr>
                  <w:tcW w:w="2906" w:type="dxa"/>
                </w:tcPr>
                <w:p>
                  <w:pPr>
                    <w:rPr>
                      <w:rFonts w:ascii="楷体" w:hAnsi="楷体" w:eastAsia="楷体"/>
                      <w:szCs w:val="21"/>
                    </w:rPr>
                  </w:pPr>
                  <w:r>
                    <w:rPr>
                      <w:rFonts w:hint="eastAsia" w:ascii="楷体" w:hAnsi="楷体" w:eastAsia="楷体"/>
                      <w:color w:val="000000"/>
                      <w:szCs w:val="21"/>
                    </w:rPr>
                    <w:t>文件使用有效率100%</w:t>
                  </w:r>
                </w:p>
              </w:tc>
              <w:tc>
                <w:tcPr>
                  <w:tcW w:w="3131" w:type="dxa"/>
                </w:tcPr>
                <w:p>
                  <w:pPr>
                    <w:rPr>
                      <w:rFonts w:ascii="楷体" w:hAnsi="楷体" w:eastAsia="楷体"/>
                      <w:szCs w:val="21"/>
                    </w:rPr>
                  </w:pPr>
                  <w:r>
                    <w:rPr>
                      <w:rFonts w:hint="eastAsia" w:ascii="楷体" w:hAnsi="楷体" w:eastAsia="楷体"/>
                    </w:rPr>
                    <w:t>有效使用数÷总数×</w:t>
                  </w:r>
                  <w:r>
                    <w:rPr>
                      <w:rFonts w:ascii="楷体" w:hAnsi="楷体" w:eastAsia="楷体"/>
                    </w:rPr>
                    <w:t>100%</w:t>
                  </w:r>
                </w:p>
              </w:tc>
              <w:tc>
                <w:tcPr>
                  <w:tcW w:w="2242" w:type="dxa"/>
                </w:tcPr>
                <w:p>
                  <w:pPr>
                    <w:rPr>
                      <w:rFonts w:ascii="楷体" w:hAnsi="楷体" w:eastAsia="楷体"/>
                      <w:szCs w:val="21"/>
                    </w:rPr>
                  </w:pPr>
                  <w:r>
                    <w:rPr>
                      <w:rFonts w:hint="eastAsia" w:ascii="楷体" w:hAnsi="楷体" w:eastAsia="楷体"/>
                      <w:szCs w:val="21"/>
                    </w:rPr>
                    <w:t>文件使用有效率100%</w:t>
                  </w:r>
                </w:p>
              </w:tc>
              <w:tc>
                <w:tcPr>
                  <w:tcW w:w="1332" w:type="dxa"/>
                </w:tcPr>
                <w:p>
                  <w:pPr>
                    <w:jc w:val="center"/>
                    <w:rPr>
                      <w:rFonts w:ascii="楷体" w:hAnsi="楷体" w:eastAsia="楷体"/>
                      <w:szCs w:val="21"/>
                    </w:rPr>
                  </w:pPr>
                  <w:r>
                    <w:rPr>
                      <w:rFonts w:ascii="楷体" w:hAnsi="楷体" w:eastAsia="楷体"/>
                      <w:szCs w:val="21"/>
                    </w:rPr>
                    <w:t>已经完成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766" w:type="dxa"/>
                  <w:vMerge w:val="continue"/>
                  <w:vAlign w:val="center"/>
                </w:tcPr>
                <w:p>
                  <w:pPr>
                    <w:spacing w:line="220" w:lineRule="atLeast"/>
                    <w:jc w:val="center"/>
                    <w:rPr>
                      <w:rFonts w:ascii="楷体" w:hAnsi="楷体" w:eastAsia="楷体" w:cs="宋体"/>
                      <w:sz w:val="24"/>
                      <w:szCs w:val="24"/>
                    </w:rPr>
                  </w:pPr>
                </w:p>
              </w:tc>
              <w:tc>
                <w:tcPr>
                  <w:tcW w:w="2906" w:type="dxa"/>
                </w:tcPr>
                <w:p>
                  <w:pPr>
                    <w:rPr>
                      <w:rFonts w:ascii="楷体" w:hAnsi="楷体" w:eastAsia="楷体"/>
                      <w:szCs w:val="21"/>
                    </w:rPr>
                  </w:pPr>
                  <w:r>
                    <w:rPr>
                      <w:rFonts w:hint="eastAsia" w:ascii="楷体" w:hAnsi="楷体" w:eastAsia="楷体"/>
                      <w:szCs w:val="21"/>
                    </w:rPr>
                    <w:t xml:space="preserve">培训合格率达100% </w:t>
                  </w:r>
                </w:p>
              </w:tc>
              <w:tc>
                <w:tcPr>
                  <w:tcW w:w="3131" w:type="dxa"/>
                </w:tcPr>
                <w:p>
                  <w:pPr>
                    <w:rPr>
                      <w:rFonts w:ascii="楷体" w:hAnsi="楷体" w:eastAsia="楷体"/>
                      <w:szCs w:val="21"/>
                    </w:rPr>
                  </w:pPr>
                  <w:r>
                    <w:rPr>
                      <w:rFonts w:hint="eastAsia" w:ascii="楷体" w:hAnsi="楷体" w:eastAsia="楷体"/>
                      <w:szCs w:val="21"/>
                    </w:rPr>
                    <w:t>培训次数÷总人次数×</w:t>
                  </w:r>
                  <w:r>
                    <w:rPr>
                      <w:rFonts w:ascii="楷体" w:hAnsi="楷体" w:eastAsia="楷体"/>
                      <w:szCs w:val="21"/>
                    </w:rPr>
                    <w:t>100%</w:t>
                  </w:r>
                </w:p>
              </w:tc>
              <w:tc>
                <w:tcPr>
                  <w:tcW w:w="2242" w:type="dxa"/>
                </w:tcPr>
                <w:p>
                  <w:pPr>
                    <w:rPr>
                      <w:rFonts w:ascii="楷体" w:hAnsi="楷体" w:eastAsia="楷体"/>
                      <w:szCs w:val="21"/>
                    </w:rPr>
                  </w:pPr>
                  <w:r>
                    <w:rPr>
                      <w:rFonts w:hint="eastAsia" w:ascii="楷体" w:hAnsi="楷体" w:eastAsia="楷体"/>
                      <w:szCs w:val="21"/>
                    </w:rPr>
                    <w:t xml:space="preserve">培训合格100% </w:t>
                  </w:r>
                </w:p>
              </w:tc>
              <w:tc>
                <w:tcPr>
                  <w:tcW w:w="1332" w:type="dxa"/>
                </w:tcPr>
                <w:p>
                  <w:pPr>
                    <w:jc w:val="center"/>
                    <w:rPr>
                      <w:rFonts w:ascii="楷体" w:hAnsi="楷体" w:eastAsia="楷体"/>
                      <w:szCs w:val="21"/>
                    </w:rPr>
                  </w:pPr>
                  <w:r>
                    <w:rPr>
                      <w:rFonts w:ascii="楷体" w:hAnsi="楷体" w:eastAsia="楷体"/>
                      <w:szCs w:val="21"/>
                    </w:rPr>
                    <w:t>已经完成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766" w:type="dxa"/>
                  <w:vMerge w:val="continue"/>
                  <w:vAlign w:val="center"/>
                </w:tcPr>
                <w:p>
                  <w:pPr>
                    <w:spacing w:line="220" w:lineRule="atLeast"/>
                    <w:jc w:val="center"/>
                    <w:rPr>
                      <w:rFonts w:ascii="楷体" w:hAnsi="楷体" w:eastAsia="楷体" w:cs="宋体"/>
                      <w:sz w:val="24"/>
                      <w:szCs w:val="24"/>
                    </w:rPr>
                  </w:pPr>
                </w:p>
              </w:tc>
              <w:tc>
                <w:tcPr>
                  <w:tcW w:w="2906" w:type="dxa"/>
                </w:tcPr>
                <w:p>
                  <w:pPr>
                    <w:rPr>
                      <w:rFonts w:ascii="楷体" w:hAnsi="楷体" w:eastAsia="楷体"/>
                      <w:szCs w:val="21"/>
                    </w:rPr>
                  </w:pPr>
                  <w:r>
                    <w:rPr>
                      <w:rFonts w:hint="eastAsia" w:ascii="楷体" w:hAnsi="楷体" w:eastAsia="楷体"/>
                      <w:szCs w:val="21"/>
                    </w:rPr>
                    <w:t>重大交通事故为零</w:t>
                  </w:r>
                </w:p>
              </w:tc>
              <w:tc>
                <w:tcPr>
                  <w:tcW w:w="3131" w:type="dxa"/>
                </w:tcPr>
                <w:p>
                  <w:pPr>
                    <w:rPr>
                      <w:rFonts w:ascii="楷体" w:hAnsi="楷体" w:eastAsia="楷体"/>
                      <w:szCs w:val="21"/>
                    </w:rPr>
                  </w:pPr>
                  <w:r>
                    <w:rPr>
                      <w:rFonts w:hint="eastAsia" w:ascii="楷体" w:hAnsi="楷体" w:eastAsia="楷体"/>
                      <w:szCs w:val="21"/>
                    </w:rPr>
                    <w:t>查看重大交通事故记录</w:t>
                  </w:r>
                </w:p>
              </w:tc>
              <w:tc>
                <w:tcPr>
                  <w:tcW w:w="2242" w:type="dxa"/>
                </w:tcPr>
                <w:p>
                  <w:pPr>
                    <w:rPr>
                      <w:rFonts w:ascii="楷体" w:hAnsi="楷体" w:eastAsia="楷体"/>
                      <w:szCs w:val="21"/>
                    </w:rPr>
                  </w:pPr>
                  <w:r>
                    <w:rPr>
                      <w:rFonts w:hint="eastAsia" w:ascii="楷体" w:hAnsi="楷体" w:eastAsia="楷体"/>
                      <w:color w:val="000000"/>
                      <w:szCs w:val="21"/>
                    </w:rPr>
                    <w:t>重大交通事故0次</w:t>
                  </w:r>
                </w:p>
              </w:tc>
              <w:tc>
                <w:tcPr>
                  <w:tcW w:w="1332" w:type="dxa"/>
                </w:tcPr>
                <w:p>
                  <w:pPr>
                    <w:jc w:val="center"/>
                    <w:rPr>
                      <w:rFonts w:ascii="楷体" w:hAnsi="楷体" w:eastAsia="楷体"/>
                      <w:szCs w:val="21"/>
                    </w:rPr>
                  </w:pPr>
                  <w:r>
                    <w:rPr>
                      <w:rFonts w:ascii="楷体" w:hAnsi="楷体" w:eastAsia="楷体"/>
                      <w:szCs w:val="21"/>
                    </w:rPr>
                    <w:t>已经完成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766" w:type="dxa"/>
                  <w:vMerge w:val="continue"/>
                  <w:vAlign w:val="center"/>
                </w:tcPr>
                <w:p>
                  <w:pPr>
                    <w:spacing w:line="220" w:lineRule="atLeast"/>
                    <w:jc w:val="center"/>
                    <w:rPr>
                      <w:rFonts w:ascii="楷体" w:hAnsi="楷体" w:eastAsia="楷体" w:cs="宋体"/>
                      <w:sz w:val="24"/>
                      <w:szCs w:val="24"/>
                    </w:rPr>
                  </w:pPr>
                </w:p>
              </w:tc>
              <w:tc>
                <w:tcPr>
                  <w:tcW w:w="2906" w:type="dxa"/>
                </w:tcPr>
                <w:p>
                  <w:pPr>
                    <w:rPr>
                      <w:rFonts w:ascii="楷体" w:hAnsi="楷体" w:eastAsia="楷体"/>
                      <w:szCs w:val="21"/>
                    </w:rPr>
                  </w:pPr>
                  <w:r>
                    <w:rPr>
                      <w:rFonts w:hint="eastAsia" w:ascii="楷体" w:hAnsi="楷体" w:eastAsia="楷体"/>
                      <w:szCs w:val="21"/>
                    </w:rPr>
                    <w:t>火灾、触电事故为0</w:t>
                  </w:r>
                </w:p>
              </w:tc>
              <w:tc>
                <w:tcPr>
                  <w:tcW w:w="3131" w:type="dxa"/>
                </w:tcPr>
                <w:p>
                  <w:pPr>
                    <w:rPr>
                      <w:rFonts w:ascii="楷体" w:hAnsi="楷体" w:eastAsia="楷体"/>
                      <w:szCs w:val="21"/>
                    </w:rPr>
                  </w:pPr>
                  <w:r>
                    <w:rPr>
                      <w:rFonts w:hint="eastAsia" w:ascii="楷体" w:hAnsi="楷体" w:eastAsia="楷体"/>
                      <w:szCs w:val="21"/>
                    </w:rPr>
                    <w:t>查看火灾触电事故记录</w:t>
                  </w:r>
                </w:p>
              </w:tc>
              <w:tc>
                <w:tcPr>
                  <w:tcW w:w="2242" w:type="dxa"/>
                </w:tcPr>
                <w:p>
                  <w:pPr>
                    <w:rPr>
                      <w:rFonts w:ascii="楷体" w:hAnsi="楷体" w:eastAsia="楷体"/>
                      <w:szCs w:val="21"/>
                    </w:rPr>
                  </w:pPr>
                  <w:r>
                    <w:rPr>
                      <w:rFonts w:hint="eastAsia" w:ascii="楷体" w:hAnsi="楷体" w:eastAsia="楷体"/>
                      <w:szCs w:val="21"/>
                    </w:rPr>
                    <w:t>火灾触电事故0次</w:t>
                  </w:r>
                </w:p>
              </w:tc>
              <w:tc>
                <w:tcPr>
                  <w:tcW w:w="1332" w:type="dxa"/>
                </w:tcPr>
                <w:p>
                  <w:pPr>
                    <w:jc w:val="center"/>
                    <w:rPr>
                      <w:rFonts w:ascii="楷体" w:hAnsi="楷体" w:eastAsia="楷体"/>
                      <w:szCs w:val="21"/>
                    </w:rPr>
                  </w:pPr>
                  <w:r>
                    <w:rPr>
                      <w:rFonts w:ascii="楷体" w:hAnsi="楷体" w:eastAsia="楷体"/>
                      <w:szCs w:val="21"/>
                    </w:rPr>
                    <w:t>已经完成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766" w:type="dxa"/>
                  <w:vMerge w:val="continue"/>
                  <w:vAlign w:val="center"/>
                </w:tcPr>
                <w:p>
                  <w:pPr>
                    <w:spacing w:line="220" w:lineRule="atLeast"/>
                    <w:jc w:val="center"/>
                    <w:rPr>
                      <w:rFonts w:ascii="楷体" w:hAnsi="楷体" w:eastAsia="楷体"/>
                      <w:szCs w:val="21"/>
                    </w:rPr>
                  </w:pPr>
                </w:p>
              </w:tc>
              <w:tc>
                <w:tcPr>
                  <w:tcW w:w="2906" w:type="dxa"/>
                </w:tcPr>
                <w:p>
                  <w:pPr>
                    <w:rPr>
                      <w:rFonts w:ascii="楷体" w:hAnsi="楷体" w:eastAsia="楷体"/>
                      <w:szCs w:val="21"/>
                    </w:rPr>
                  </w:pPr>
                  <w:r>
                    <w:rPr>
                      <w:rFonts w:hint="eastAsia" w:ascii="楷体" w:hAnsi="楷体" w:eastAsia="楷体"/>
                      <w:szCs w:val="21"/>
                    </w:rPr>
                    <w:t>固废分类处置率100%；</w:t>
                  </w:r>
                </w:p>
              </w:tc>
              <w:tc>
                <w:tcPr>
                  <w:tcW w:w="3131" w:type="dxa"/>
                </w:tcPr>
                <w:p>
                  <w:pPr>
                    <w:rPr>
                      <w:rFonts w:ascii="楷体" w:hAnsi="楷体" w:eastAsia="楷体"/>
                      <w:szCs w:val="21"/>
                    </w:rPr>
                  </w:pPr>
                  <w:r>
                    <w:rPr>
                      <w:rFonts w:hint="eastAsia" w:ascii="楷体" w:hAnsi="楷体" w:eastAsia="楷体"/>
                      <w:szCs w:val="21"/>
                    </w:rPr>
                    <w:t>符合数量÷检查数量×</w:t>
                  </w:r>
                  <w:r>
                    <w:rPr>
                      <w:rFonts w:ascii="楷体" w:hAnsi="楷体" w:eastAsia="楷体"/>
                      <w:szCs w:val="21"/>
                    </w:rPr>
                    <w:t>100%</w:t>
                  </w:r>
                  <w:r>
                    <w:rPr>
                      <w:rFonts w:hint="eastAsia" w:ascii="楷体" w:hAnsi="楷体" w:eastAsia="楷体"/>
                      <w:szCs w:val="21"/>
                    </w:rPr>
                    <w:t>。</w:t>
                  </w:r>
                </w:p>
              </w:tc>
              <w:tc>
                <w:tcPr>
                  <w:tcW w:w="2242" w:type="dxa"/>
                </w:tcPr>
                <w:p>
                  <w:pPr>
                    <w:rPr>
                      <w:rFonts w:ascii="楷体" w:hAnsi="楷体" w:eastAsia="楷体"/>
                      <w:szCs w:val="21"/>
                    </w:rPr>
                  </w:pPr>
                  <w:r>
                    <w:rPr>
                      <w:rFonts w:hint="eastAsia" w:ascii="楷体" w:hAnsi="楷体" w:eastAsia="楷体"/>
                      <w:szCs w:val="21"/>
                    </w:rPr>
                    <w:t>固废分类处置率100%；</w:t>
                  </w:r>
                </w:p>
              </w:tc>
              <w:tc>
                <w:tcPr>
                  <w:tcW w:w="1332" w:type="dxa"/>
                </w:tcPr>
                <w:p>
                  <w:pPr>
                    <w:jc w:val="center"/>
                    <w:rPr>
                      <w:rFonts w:ascii="楷体" w:hAnsi="楷体" w:eastAsia="楷体"/>
                      <w:szCs w:val="21"/>
                    </w:rPr>
                  </w:pPr>
                  <w:r>
                    <w:rPr>
                      <w:rFonts w:ascii="楷体" w:hAnsi="楷体" w:eastAsia="楷体"/>
                      <w:szCs w:val="21"/>
                    </w:rPr>
                    <w:t>已经完成</w:t>
                  </w:r>
                </w:p>
              </w:tc>
            </w:tr>
          </w:tbl>
          <w:p>
            <w:pPr>
              <w:autoSpaceDE w:val="0"/>
              <w:autoSpaceDN w:val="0"/>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2020.3.31日经考核已完成。</w:t>
            </w:r>
          </w:p>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抽环境目标管理方案，明确了措施、责任人、时间、资金投入要求。</w:t>
            </w:r>
          </w:p>
          <w:tbl>
            <w:tblPr>
              <w:tblStyle w:val="10"/>
              <w:tblW w:w="102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97"/>
              <w:gridCol w:w="1200"/>
              <w:gridCol w:w="1272"/>
              <w:gridCol w:w="3214"/>
              <w:gridCol w:w="1038"/>
              <w:gridCol w:w="826"/>
              <w:gridCol w:w="1261"/>
              <w:gridCol w:w="7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40" w:hRule="atLeast"/>
              </w:trPr>
              <w:tc>
                <w:tcPr>
                  <w:tcW w:w="597" w:type="dxa"/>
                  <w:vAlign w:val="center"/>
                </w:tcPr>
                <w:p>
                  <w:pPr>
                    <w:spacing w:line="240" w:lineRule="exact"/>
                    <w:rPr>
                      <w:rFonts w:ascii="楷体" w:hAnsi="楷体" w:eastAsia="楷体"/>
                      <w:szCs w:val="21"/>
                    </w:rPr>
                  </w:pPr>
                  <w:r>
                    <w:rPr>
                      <w:rFonts w:hint="eastAsia" w:ascii="楷体" w:hAnsi="楷体" w:eastAsia="楷体"/>
                      <w:szCs w:val="21"/>
                    </w:rPr>
                    <w:t>序号</w:t>
                  </w:r>
                </w:p>
              </w:tc>
              <w:tc>
                <w:tcPr>
                  <w:tcW w:w="1200" w:type="dxa"/>
                  <w:vAlign w:val="center"/>
                </w:tcPr>
                <w:p>
                  <w:pPr>
                    <w:spacing w:line="240" w:lineRule="exact"/>
                    <w:rPr>
                      <w:rFonts w:ascii="楷体" w:hAnsi="楷体" w:eastAsia="楷体"/>
                      <w:szCs w:val="21"/>
                    </w:rPr>
                  </w:pPr>
                  <w:r>
                    <w:rPr>
                      <w:rFonts w:hint="eastAsia" w:ascii="楷体" w:hAnsi="楷体" w:eastAsia="楷体"/>
                      <w:szCs w:val="21"/>
                    </w:rPr>
                    <w:t>重要环境因素</w:t>
                  </w:r>
                </w:p>
              </w:tc>
              <w:tc>
                <w:tcPr>
                  <w:tcW w:w="1272" w:type="dxa"/>
                  <w:vAlign w:val="center"/>
                </w:tcPr>
                <w:p>
                  <w:pPr>
                    <w:spacing w:line="240" w:lineRule="exact"/>
                    <w:rPr>
                      <w:rFonts w:ascii="楷体" w:hAnsi="楷体" w:eastAsia="楷体"/>
                      <w:szCs w:val="21"/>
                    </w:rPr>
                  </w:pPr>
                  <w:r>
                    <w:rPr>
                      <w:rFonts w:hint="eastAsia" w:ascii="楷体" w:hAnsi="楷体" w:eastAsia="楷体"/>
                      <w:szCs w:val="21"/>
                    </w:rPr>
                    <w:t>目  标</w:t>
                  </w:r>
                </w:p>
              </w:tc>
              <w:tc>
                <w:tcPr>
                  <w:tcW w:w="3214" w:type="dxa"/>
                  <w:vAlign w:val="center"/>
                </w:tcPr>
                <w:p>
                  <w:pPr>
                    <w:spacing w:line="240" w:lineRule="exact"/>
                    <w:rPr>
                      <w:rFonts w:ascii="楷体" w:hAnsi="楷体" w:eastAsia="楷体"/>
                      <w:szCs w:val="21"/>
                    </w:rPr>
                  </w:pPr>
                  <w:r>
                    <w:rPr>
                      <w:rFonts w:hint="eastAsia" w:ascii="楷体" w:hAnsi="楷体" w:eastAsia="楷体"/>
                      <w:szCs w:val="21"/>
                    </w:rPr>
                    <w:t>控制措施</w:t>
                  </w:r>
                </w:p>
              </w:tc>
              <w:tc>
                <w:tcPr>
                  <w:tcW w:w="1038" w:type="dxa"/>
                  <w:vAlign w:val="center"/>
                </w:tcPr>
                <w:p>
                  <w:pPr>
                    <w:spacing w:line="240" w:lineRule="exact"/>
                    <w:rPr>
                      <w:rFonts w:ascii="楷体" w:hAnsi="楷体" w:eastAsia="楷体"/>
                      <w:szCs w:val="21"/>
                    </w:rPr>
                  </w:pPr>
                  <w:r>
                    <w:rPr>
                      <w:rFonts w:hint="eastAsia" w:ascii="楷体" w:hAnsi="楷体" w:eastAsia="楷体"/>
                      <w:szCs w:val="21"/>
                    </w:rPr>
                    <w:t>责任部门</w:t>
                  </w:r>
                </w:p>
              </w:tc>
              <w:tc>
                <w:tcPr>
                  <w:tcW w:w="826" w:type="dxa"/>
                  <w:vAlign w:val="center"/>
                </w:tcPr>
                <w:p>
                  <w:pPr>
                    <w:spacing w:line="240" w:lineRule="exact"/>
                    <w:rPr>
                      <w:rFonts w:ascii="楷体" w:hAnsi="楷体" w:eastAsia="楷体"/>
                      <w:szCs w:val="21"/>
                      <w:highlight w:val="yellow"/>
                    </w:rPr>
                  </w:pPr>
                  <w:r>
                    <w:rPr>
                      <w:rFonts w:hint="eastAsia" w:ascii="楷体" w:hAnsi="楷体" w:eastAsia="楷体"/>
                      <w:szCs w:val="21"/>
                    </w:rPr>
                    <w:t>时间要求</w:t>
                  </w:r>
                </w:p>
              </w:tc>
              <w:tc>
                <w:tcPr>
                  <w:tcW w:w="1261" w:type="dxa"/>
                  <w:vAlign w:val="center"/>
                </w:tcPr>
                <w:p>
                  <w:pPr>
                    <w:spacing w:line="240" w:lineRule="exact"/>
                    <w:rPr>
                      <w:rFonts w:ascii="楷体" w:hAnsi="楷体" w:eastAsia="楷体"/>
                      <w:szCs w:val="21"/>
                    </w:rPr>
                  </w:pPr>
                  <w:r>
                    <w:rPr>
                      <w:rFonts w:hint="eastAsia" w:ascii="楷体" w:hAnsi="楷体" w:eastAsia="楷体"/>
                      <w:szCs w:val="21"/>
                    </w:rPr>
                    <w:t>计划投</w:t>
                  </w:r>
                </w:p>
                <w:p>
                  <w:pPr>
                    <w:spacing w:line="240" w:lineRule="exact"/>
                    <w:rPr>
                      <w:rFonts w:ascii="楷体" w:hAnsi="楷体" w:eastAsia="楷体"/>
                      <w:szCs w:val="21"/>
                    </w:rPr>
                  </w:pPr>
                  <w:r>
                    <w:rPr>
                      <w:rFonts w:hint="eastAsia" w:ascii="楷体" w:hAnsi="楷体" w:eastAsia="楷体"/>
                      <w:szCs w:val="21"/>
                    </w:rPr>
                    <w:t>入资金</w:t>
                  </w:r>
                </w:p>
              </w:tc>
              <w:tc>
                <w:tcPr>
                  <w:tcW w:w="798" w:type="dxa"/>
                  <w:vAlign w:val="center"/>
                </w:tcPr>
                <w:p>
                  <w:pPr>
                    <w:spacing w:line="240" w:lineRule="exact"/>
                    <w:rPr>
                      <w:rFonts w:ascii="楷体" w:hAnsi="楷体" w:eastAsia="楷体"/>
                      <w:szCs w:val="21"/>
                    </w:rPr>
                  </w:pPr>
                  <w:r>
                    <w:rPr>
                      <w:rFonts w:hint="eastAsia" w:ascii="楷体" w:hAnsi="楷体" w:eastAsia="楷体"/>
                      <w:szCs w:val="21"/>
                    </w:rPr>
                    <w:t>检查人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84" w:hRule="atLeast"/>
              </w:trPr>
              <w:tc>
                <w:tcPr>
                  <w:tcW w:w="597" w:type="dxa"/>
                  <w:vAlign w:val="center"/>
                </w:tcPr>
                <w:p>
                  <w:pPr>
                    <w:jc w:val="center"/>
                    <w:rPr>
                      <w:rFonts w:ascii="楷体" w:hAnsi="楷体" w:eastAsia="楷体"/>
                      <w:szCs w:val="21"/>
                    </w:rPr>
                  </w:pPr>
                  <w:r>
                    <w:rPr>
                      <w:rFonts w:hint="eastAsia" w:ascii="楷体" w:hAnsi="楷体" w:eastAsia="楷体"/>
                      <w:szCs w:val="21"/>
                    </w:rPr>
                    <w:t>1</w:t>
                  </w:r>
                </w:p>
              </w:tc>
              <w:tc>
                <w:tcPr>
                  <w:tcW w:w="1200" w:type="dxa"/>
                  <w:vAlign w:val="center"/>
                </w:tcPr>
                <w:p>
                  <w:pPr>
                    <w:jc w:val="center"/>
                    <w:rPr>
                      <w:rFonts w:ascii="楷体" w:hAnsi="楷体" w:eastAsia="楷体"/>
                      <w:szCs w:val="21"/>
                    </w:rPr>
                  </w:pPr>
                  <w:r>
                    <w:rPr>
                      <w:rFonts w:hint="eastAsia" w:ascii="楷体" w:hAnsi="楷体" w:eastAsia="楷体"/>
                      <w:szCs w:val="21"/>
                    </w:rPr>
                    <w:t>噪声排放</w:t>
                  </w:r>
                </w:p>
              </w:tc>
              <w:tc>
                <w:tcPr>
                  <w:tcW w:w="1272" w:type="dxa"/>
                </w:tcPr>
                <w:p>
                  <w:pPr>
                    <w:rPr>
                      <w:rFonts w:ascii="楷体" w:hAnsi="楷体" w:eastAsia="楷体"/>
                      <w:szCs w:val="21"/>
                    </w:rPr>
                  </w:pPr>
                  <w:r>
                    <w:rPr>
                      <w:rFonts w:hint="eastAsia" w:ascii="楷体" w:hAnsi="楷体" w:eastAsia="楷体"/>
                      <w:szCs w:val="21"/>
                    </w:rPr>
                    <w:t>对噪声源进行控制，不扰民.</w:t>
                  </w:r>
                </w:p>
              </w:tc>
              <w:tc>
                <w:tcPr>
                  <w:tcW w:w="3214" w:type="dxa"/>
                </w:tcPr>
                <w:p>
                  <w:pPr>
                    <w:rPr>
                      <w:rFonts w:ascii="楷体" w:hAnsi="楷体" w:eastAsia="楷体"/>
                      <w:szCs w:val="21"/>
                    </w:rPr>
                  </w:pPr>
                  <w:r>
                    <w:rPr>
                      <w:rFonts w:hint="eastAsia" w:ascii="楷体" w:hAnsi="楷体" w:eastAsia="楷体"/>
                      <w:szCs w:val="21"/>
                    </w:rPr>
                    <w:t>1.设备不得带病运转，经常润滑。出现异响及时修理。</w:t>
                  </w:r>
                </w:p>
                <w:p>
                  <w:pPr>
                    <w:rPr>
                      <w:rFonts w:ascii="楷体" w:hAnsi="楷体" w:eastAsia="楷体"/>
                      <w:szCs w:val="21"/>
                    </w:rPr>
                  </w:pPr>
                  <w:r>
                    <w:rPr>
                      <w:rFonts w:hint="eastAsia" w:ascii="楷体" w:hAnsi="楷体" w:eastAsia="楷体"/>
                      <w:szCs w:val="21"/>
                    </w:rPr>
                    <w:t>2.装卸非易碎货物禁止抛掷，一般情况下白天装卸货物。</w:t>
                  </w:r>
                </w:p>
              </w:tc>
              <w:tc>
                <w:tcPr>
                  <w:tcW w:w="1038" w:type="dxa"/>
                  <w:vAlign w:val="center"/>
                </w:tcPr>
                <w:p>
                  <w:pPr>
                    <w:jc w:val="center"/>
                    <w:rPr>
                      <w:rFonts w:ascii="楷体" w:hAnsi="楷体" w:eastAsia="楷体"/>
                      <w:szCs w:val="21"/>
                    </w:rPr>
                  </w:pPr>
                  <w:r>
                    <w:rPr>
                      <w:rFonts w:hint="eastAsia" w:ascii="楷体" w:hAnsi="楷体" w:eastAsia="楷体"/>
                      <w:szCs w:val="21"/>
                    </w:rPr>
                    <w:t>生产部</w:t>
                  </w:r>
                </w:p>
              </w:tc>
              <w:tc>
                <w:tcPr>
                  <w:tcW w:w="826" w:type="dxa"/>
                  <w:vAlign w:val="center"/>
                </w:tcPr>
                <w:p>
                  <w:pPr>
                    <w:jc w:val="center"/>
                    <w:rPr>
                      <w:rFonts w:ascii="楷体" w:hAnsi="楷体" w:eastAsia="楷体"/>
                      <w:szCs w:val="21"/>
                    </w:rPr>
                  </w:pPr>
                  <w:r>
                    <w:rPr>
                      <w:rFonts w:hint="eastAsia" w:ascii="楷体" w:hAnsi="楷体" w:eastAsia="楷体"/>
                      <w:szCs w:val="21"/>
                    </w:rPr>
                    <w:t>2019.10-2020.3</w:t>
                  </w:r>
                </w:p>
              </w:tc>
              <w:tc>
                <w:tcPr>
                  <w:tcW w:w="1261" w:type="dxa"/>
                  <w:vAlign w:val="center"/>
                </w:tcPr>
                <w:p>
                  <w:pPr>
                    <w:jc w:val="center"/>
                    <w:rPr>
                      <w:rFonts w:ascii="楷体" w:hAnsi="楷体" w:eastAsia="楷体"/>
                      <w:szCs w:val="21"/>
                    </w:rPr>
                  </w:pPr>
                  <w:r>
                    <w:rPr>
                      <w:rFonts w:hint="eastAsia" w:ascii="楷体" w:hAnsi="楷体" w:eastAsia="楷体"/>
                      <w:szCs w:val="21"/>
                    </w:rPr>
                    <w:t>7000元</w:t>
                  </w:r>
                </w:p>
              </w:tc>
              <w:tc>
                <w:tcPr>
                  <w:tcW w:w="798" w:type="dxa"/>
                </w:tcPr>
                <w:p>
                  <w:pPr>
                    <w:spacing w:line="240" w:lineRule="exact"/>
                    <w:rPr>
                      <w:rFonts w:ascii="楷体" w:hAnsi="楷体" w:eastAsia="楷体"/>
                      <w:szCs w:val="21"/>
                    </w:rPr>
                  </w:pPr>
                  <w:r>
                    <w:rPr>
                      <w:rFonts w:hint="eastAsia" w:ascii="楷体" w:hAnsi="楷体" w:eastAsia="楷体"/>
                      <w:szCs w:val="21"/>
                    </w:rPr>
                    <w:t>邓晟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97" w:type="dxa"/>
                  <w:vAlign w:val="center"/>
                </w:tcPr>
                <w:p>
                  <w:pPr>
                    <w:jc w:val="center"/>
                    <w:rPr>
                      <w:rFonts w:ascii="楷体" w:hAnsi="楷体" w:eastAsia="楷体"/>
                      <w:szCs w:val="21"/>
                    </w:rPr>
                  </w:pPr>
                  <w:r>
                    <w:rPr>
                      <w:rFonts w:hint="eastAsia" w:ascii="楷体" w:hAnsi="楷体" w:eastAsia="楷体"/>
                      <w:szCs w:val="21"/>
                    </w:rPr>
                    <w:t>2</w:t>
                  </w:r>
                </w:p>
              </w:tc>
              <w:tc>
                <w:tcPr>
                  <w:tcW w:w="1200" w:type="dxa"/>
                  <w:vAlign w:val="center"/>
                </w:tcPr>
                <w:p>
                  <w:pPr>
                    <w:jc w:val="center"/>
                    <w:rPr>
                      <w:rFonts w:ascii="楷体" w:hAnsi="楷体" w:eastAsia="楷体"/>
                      <w:szCs w:val="21"/>
                    </w:rPr>
                  </w:pPr>
                  <w:r>
                    <w:rPr>
                      <w:rFonts w:hint="eastAsia" w:ascii="楷体" w:hAnsi="楷体" w:eastAsia="楷体"/>
                      <w:szCs w:val="21"/>
                    </w:rPr>
                    <w:t>潜在的火灾</w:t>
                  </w:r>
                </w:p>
              </w:tc>
              <w:tc>
                <w:tcPr>
                  <w:tcW w:w="1272" w:type="dxa"/>
                </w:tcPr>
                <w:p>
                  <w:pPr>
                    <w:rPr>
                      <w:rFonts w:ascii="楷体" w:hAnsi="楷体" w:eastAsia="楷体"/>
                      <w:szCs w:val="21"/>
                    </w:rPr>
                  </w:pPr>
                  <w:r>
                    <w:rPr>
                      <w:rFonts w:hint="eastAsia" w:ascii="楷体" w:hAnsi="楷体" w:eastAsia="楷体"/>
                      <w:szCs w:val="21"/>
                    </w:rPr>
                    <w:t>杜绝火灾、事故发生为0</w:t>
                  </w:r>
                </w:p>
              </w:tc>
              <w:tc>
                <w:tcPr>
                  <w:tcW w:w="3214" w:type="dxa"/>
                  <w:vAlign w:val="center"/>
                </w:tcPr>
                <w:p>
                  <w:pPr>
                    <w:rPr>
                      <w:rFonts w:ascii="楷体" w:hAnsi="楷体" w:eastAsia="楷体"/>
                      <w:szCs w:val="21"/>
                    </w:rPr>
                  </w:pPr>
                  <w:r>
                    <w:rPr>
                      <w:rFonts w:hint="eastAsia" w:ascii="楷体" w:hAnsi="楷体" w:eastAsia="楷体"/>
                      <w:szCs w:val="21"/>
                    </w:rPr>
                    <w:t>1、配置消防设施和器材；</w:t>
                  </w:r>
                </w:p>
                <w:p>
                  <w:pPr>
                    <w:rPr>
                      <w:rFonts w:ascii="楷体" w:hAnsi="楷体" w:eastAsia="楷体"/>
                      <w:szCs w:val="21"/>
                    </w:rPr>
                  </w:pPr>
                  <w:r>
                    <w:rPr>
                      <w:rFonts w:hint="eastAsia" w:ascii="楷体" w:hAnsi="楷体" w:eastAsia="楷体"/>
                      <w:szCs w:val="21"/>
                    </w:rPr>
                    <w:t>2、见应急预案。</w:t>
                  </w:r>
                </w:p>
                <w:p>
                  <w:pPr>
                    <w:rPr>
                      <w:rFonts w:ascii="楷体" w:hAnsi="楷体" w:eastAsia="楷体"/>
                      <w:szCs w:val="21"/>
                    </w:rPr>
                  </w:pPr>
                  <w:r>
                    <w:rPr>
                      <w:rFonts w:hint="eastAsia" w:ascii="楷体" w:hAnsi="楷体" w:eastAsia="楷体"/>
                      <w:szCs w:val="21"/>
                    </w:rPr>
                    <w:t>3、员工进行应急演练。</w:t>
                  </w:r>
                </w:p>
              </w:tc>
              <w:tc>
                <w:tcPr>
                  <w:tcW w:w="1038" w:type="dxa"/>
                  <w:vAlign w:val="center"/>
                </w:tcPr>
                <w:p>
                  <w:pPr>
                    <w:jc w:val="center"/>
                    <w:rPr>
                      <w:rFonts w:ascii="楷体" w:hAnsi="楷体" w:eastAsia="楷体"/>
                      <w:szCs w:val="21"/>
                    </w:rPr>
                  </w:pPr>
                  <w:r>
                    <w:rPr>
                      <w:rFonts w:ascii="楷体" w:hAnsi="楷体" w:eastAsia="楷体"/>
                      <w:szCs w:val="21"/>
                    </w:rPr>
                    <w:t>行政部</w:t>
                  </w:r>
                </w:p>
                <w:p>
                  <w:pPr>
                    <w:jc w:val="center"/>
                    <w:rPr>
                      <w:rFonts w:ascii="楷体" w:hAnsi="楷体" w:eastAsia="楷体"/>
                      <w:szCs w:val="21"/>
                    </w:rPr>
                  </w:pPr>
                  <w:r>
                    <w:rPr>
                      <w:rFonts w:hint="eastAsia" w:ascii="楷体" w:hAnsi="楷体" w:eastAsia="楷体"/>
                      <w:szCs w:val="21"/>
                    </w:rPr>
                    <w:t>生产</w:t>
                  </w:r>
                  <w:r>
                    <w:rPr>
                      <w:rFonts w:ascii="楷体" w:hAnsi="楷体" w:eastAsia="楷体"/>
                      <w:szCs w:val="21"/>
                    </w:rPr>
                    <w:t>部</w:t>
                  </w:r>
                </w:p>
              </w:tc>
              <w:tc>
                <w:tcPr>
                  <w:tcW w:w="826" w:type="dxa"/>
                  <w:vAlign w:val="center"/>
                </w:tcPr>
                <w:p>
                  <w:pPr>
                    <w:rPr>
                      <w:rFonts w:ascii="楷体" w:hAnsi="楷体" w:eastAsia="楷体"/>
                      <w:szCs w:val="21"/>
                    </w:rPr>
                  </w:pPr>
                  <w:r>
                    <w:rPr>
                      <w:rFonts w:hint="eastAsia" w:ascii="楷体" w:hAnsi="楷体" w:eastAsia="楷体"/>
                      <w:szCs w:val="21"/>
                    </w:rPr>
                    <w:t>2019.10-2020.3</w:t>
                  </w:r>
                </w:p>
              </w:tc>
              <w:tc>
                <w:tcPr>
                  <w:tcW w:w="1261" w:type="dxa"/>
                  <w:vAlign w:val="center"/>
                </w:tcPr>
                <w:p>
                  <w:pPr>
                    <w:jc w:val="center"/>
                    <w:rPr>
                      <w:rFonts w:ascii="楷体" w:hAnsi="楷体" w:eastAsia="楷体"/>
                      <w:szCs w:val="21"/>
                    </w:rPr>
                  </w:pPr>
                  <w:r>
                    <w:rPr>
                      <w:rFonts w:hint="eastAsia" w:ascii="楷体" w:hAnsi="楷体" w:eastAsia="楷体"/>
                      <w:szCs w:val="21"/>
                    </w:rPr>
                    <w:t>3000元</w:t>
                  </w:r>
                </w:p>
              </w:tc>
              <w:tc>
                <w:tcPr>
                  <w:tcW w:w="798" w:type="dxa"/>
                  <w:vAlign w:val="center"/>
                </w:tcPr>
                <w:p>
                  <w:pPr>
                    <w:spacing w:line="240" w:lineRule="exact"/>
                    <w:rPr>
                      <w:rFonts w:ascii="楷体" w:hAnsi="楷体" w:eastAsia="楷体"/>
                      <w:szCs w:val="21"/>
                    </w:rPr>
                  </w:pPr>
                  <w:r>
                    <w:rPr>
                      <w:rFonts w:hint="eastAsia" w:ascii="楷体" w:hAnsi="楷体" w:eastAsia="楷体"/>
                      <w:szCs w:val="21"/>
                    </w:rPr>
                    <w:t>邓晟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97" w:type="dxa"/>
                  <w:vAlign w:val="center"/>
                </w:tcPr>
                <w:p>
                  <w:pPr>
                    <w:jc w:val="center"/>
                    <w:rPr>
                      <w:rFonts w:ascii="楷体" w:hAnsi="楷体" w:eastAsia="楷体"/>
                      <w:szCs w:val="21"/>
                    </w:rPr>
                  </w:pPr>
                  <w:r>
                    <w:rPr>
                      <w:rFonts w:hint="eastAsia" w:ascii="楷体" w:hAnsi="楷体" w:eastAsia="楷体"/>
                      <w:szCs w:val="21"/>
                    </w:rPr>
                    <w:t>3</w:t>
                  </w:r>
                </w:p>
              </w:tc>
              <w:tc>
                <w:tcPr>
                  <w:tcW w:w="1200" w:type="dxa"/>
                  <w:vAlign w:val="center"/>
                </w:tcPr>
                <w:p>
                  <w:pPr>
                    <w:jc w:val="center"/>
                    <w:rPr>
                      <w:rFonts w:ascii="楷体" w:hAnsi="楷体" w:eastAsia="楷体"/>
                      <w:szCs w:val="21"/>
                    </w:rPr>
                  </w:pPr>
                  <w:r>
                    <w:rPr>
                      <w:rFonts w:hint="eastAsia" w:ascii="楷体" w:hAnsi="楷体" w:eastAsia="楷体"/>
                      <w:szCs w:val="21"/>
                    </w:rPr>
                    <w:t>生产、生活固体废弃物产生</w:t>
                  </w:r>
                </w:p>
              </w:tc>
              <w:tc>
                <w:tcPr>
                  <w:tcW w:w="1272" w:type="dxa"/>
                  <w:vAlign w:val="center"/>
                </w:tcPr>
                <w:p>
                  <w:pPr>
                    <w:rPr>
                      <w:rFonts w:ascii="楷体" w:hAnsi="楷体" w:eastAsia="楷体"/>
                      <w:szCs w:val="21"/>
                    </w:rPr>
                  </w:pPr>
                  <w:r>
                    <w:rPr>
                      <w:rFonts w:hint="eastAsia" w:ascii="楷体" w:hAnsi="楷体" w:eastAsia="楷体"/>
                      <w:szCs w:val="21"/>
                    </w:rPr>
                    <w:t>分区堆放最大程度回用，处置率100%。</w:t>
                  </w:r>
                </w:p>
              </w:tc>
              <w:tc>
                <w:tcPr>
                  <w:tcW w:w="3214" w:type="dxa"/>
                </w:tcPr>
                <w:p>
                  <w:pPr>
                    <w:rPr>
                      <w:rFonts w:ascii="楷体" w:hAnsi="楷体" w:eastAsia="楷体"/>
                      <w:szCs w:val="21"/>
                    </w:rPr>
                  </w:pPr>
                  <w:r>
                    <w:rPr>
                      <w:rFonts w:hint="eastAsia" w:ascii="楷体" w:hAnsi="楷体" w:eastAsia="楷体"/>
                      <w:szCs w:val="21"/>
                    </w:rPr>
                    <w:t>1.按规定回收利用/按规定排放</w:t>
                  </w:r>
                </w:p>
                <w:p>
                  <w:pPr>
                    <w:rPr>
                      <w:rFonts w:ascii="楷体" w:hAnsi="楷体" w:eastAsia="楷体"/>
                      <w:szCs w:val="21"/>
                    </w:rPr>
                  </w:pPr>
                  <w:r>
                    <w:rPr>
                      <w:rFonts w:hint="eastAsia" w:ascii="楷体" w:hAnsi="楷体" w:eastAsia="楷体"/>
                      <w:szCs w:val="21"/>
                    </w:rPr>
                    <w:t>3.禁止在非指定地点倾倒垃圾。</w:t>
                  </w:r>
                </w:p>
                <w:p>
                  <w:pPr>
                    <w:rPr>
                      <w:rFonts w:ascii="楷体" w:hAnsi="楷体" w:eastAsia="楷体"/>
                      <w:szCs w:val="21"/>
                    </w:rPr>
                  </w:pPr>
                  <w:r>
                    <w:rPr>
                      <w:rFonts w:hint="eastAsia" w:ascii="楷体" w:hAnsi="楷体" w:eastAsia="楷体"/>
                      <w:szCs w:val="21"/>
                    </w:rPr>
                    <w:t>4.与相关方签署协议，处理固废。</w:t>
                  </w:r>
                </w:p>
              </w:tc>
              <w:tc>
                <w:tcPr>
                  <w:tcW w:w="1038" w:type="dxa"/>
                  <w:vAlign w:val="center"/>
                </w:tcPr>
                <w:p>
                  <w:pPr>
                    <w:jc w:val="center"/>
                    <w:rPr>
                      <w:rFonts w:ascii="楷体" w:hAnsi="楷体" w:eastAsia="楷体"/>
                      <w:szCs w:val="21"/>
                    </w:rPr>
                  </w:pPr>
                  <w:r>
                    <w:rPr>
                      <w:rFonts w:hint="eastAsia" w:ascii="楷体" w:hAnsi="楷体" w:eastAsia="楷体"/>
                      <w:szCs w:val="21"/>
                    </w:rPr>
                    <w:t>生产部</w:t>
                  </w:r>
                </w:p>
              </w:tc>
              <w:tc>
                <w:tcPr>
                  <w:tcW w:w="826" w:type="dxa"/>
                  <w:vAlign w:val="center"/>
                </w:tcPr>
                <w:p>
                  <w:pPr>
                    <w:jc w:val="center"/>
                    <w:rPr>
                      <w:rFonts w:ascii="楷体" w:hAnsi="楷体" w:eastAsia="楷体"/>
                      <w:szCs w:val="21"/>
                    </w:rPr>
                  </w:pPr>
                  <w:r>
                    <w:rPr>
                      <w:rFonts w:hint="eastAsia" w:ascii="楷体" w:hAnsi="楷体" w:eastAsia="楷体"/>
                      <w:szCs w:val="21"/>
                    </w:rPr>
                    <w:t>2019.10-2020.3</w:t>
                  </w:r>
                </w:p>
              </w:tc>
              <w:tc>
                <w:tcPr>
                  <w:tcW w:w="1261" w:type="dxa"/>
                  <w:vAlign w:val="center"/>
                </w:tcPr>
                <w:p>
                  <w:pPr>
                    <w:jc w:val="center"/>
                    <w:rPr>
                      <w:rFonts w:ascii="楷体" w:hAnsi="楷体" w:eastAsia="楷体"/>
                      <w:szCs w:val="21"/>
                    </w:rPr>
                  </w:pPr>
                  <w:r>
                    <w:rPr>
                      <w:rFonts w:hint="eastAsia" w:ascii="楷体" w:hAnsi="楷体" w:eastAsia="楷体"/>
                      <w:szCs w:val="21"/>
                    </w:rPr>
                    <w:t>7000元</w:t>
                  </w:r>
                </w:p>
              </w:tc>
              <w:tc>
                <w:tcPr>
                  <w:tcW w:w="798" w:type="dxa"/>
                </w:tcPr>
                <w:p>
                  <w:pPr>
                    <w:spacing w:line="240" w:lineRule="exact"/>
                    <w:rPr>
                      <w:rFonts w:ascii="楷体" w:hAnsi="楷体" w:eastAsia="楷体"/>
                      <w:szCs w:val="21"/>
                    </w:rPr>
                  </w:pPr>
                </w:p>
                <w:p>
                  <w:pPr>
                    <w:spacing w:line="240" w:lineRule="exact"/>
                    <w:rPr>
                      <w:rFonts w:ascii="楷体" w:hAnsi="楷体" w:eastAsia="楷体"/>
                      <w:szCs w:val="21"/>
                    </w:rPr>
                  </w:pPr>
                  <w:r>
                    <w:rPr>
                      <w:rFonts w:hint="eastAsia" w:ascii="楷体" w:hAnsi="楷体" w:eastAsia="楷体"/>
                      <w:szCs w:val="21"/>
                    </w:rPr>
                    <w:t>邓晟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97" w:type="dxa"/>
                  <w:vAlign w:val="center"/>
                </w:tcPr>
                <w:p>
                  <w:pPr>
                    <w:jc w:val="center"/>
                    <w:rPr>
                      <w:rFonts w:ascii="楷体" w:hAnsi="楷体" w:eastAsia="楷体"/>
                      <w:szCs w:val="21"/>
                    </w:rPr>
                  </w:pPr>
                  <w:r>
                    <w:rPr>
                      <w:rFonts w:hint="eastAsia" w:ascii="楷体" w:hAnsi="楷体" w:eastAsia="楷体"/>
                      <w:szCs w:val="21"/>
                    </w:rPr>
                    <w:t>4</w:t>
                  </w:r>
                </w:p>
              </w:tc>
              <w:tc>
                <w:tcPr>
                  <w:tcW w:w="1200" w:type="dxa"/>
                  <w:vAlign w:val="center"/>
                </w:tcPr>
                <w:p>
                  <w:pPr>
                    <w:rPr>
                      <w:rFonts w:ascii="楷体" w:hAnsi="楷体" w:eastAsia="楷体"/>
                      <w:szCs w:val="21"/>
                    </w:rPr>
                  </w:pPr>
                  <w:r>
                    <w:rPr>
                      <w:rFonts w:hint="eastAsia" w:ascii="楷体" w:hAnsi="楷体" w:eastAsia="楷体"/>
                      <w:color w:val="000000"/>
                      <w:szCs w:val="21"/>
                    </w:rPr>
                    <w:t>粉尘排放</w:t>
                  </w:r>
                </w:p>
              </w:tc>
              <w:tc>
                <w:tcPr>
                  <w:tcW w:w="1272" w:type="dxa"/>
                  <w:vAlign w:val="center"/>
                </w:tcPr>
                <w:p>
                  <w:pPr>
                    <w:spacing w:line="400" w:lineRule="exact"/>
                    <w:rPr>
                      <w:rFonts w:ascii="楷体" w:hAnsi="楷体" w:eastAsia="楷体"/>
                      <w:color w:val="000000"/>
                      <w:szCs w:val="21"/>
                    </w:rPr>
                  </w:pPr>
                  <w:r>
                    <w:rPr>
                      <w:rFonts w:hint="eastAsia" w:ascii="楷体" w:hAnsi="楷体" w:eastAsia="楷体"/>
                      <w:color w:val="000000"/>
                      <w:szCs w:val="21"/>
                    </w:rPr>
                    <w:t>粉尘达标排放率100%；</w:t>
                  </w:r>
                </w:p>
                <w:p>
                  <w:pPr>
                    <w:rPr>
                      <w:rFonts w:ascii="楷体" w:hAnsi="楷体" w:eastAsia="楷体"/>
                      <w:szCs w:val="21"/>
                    </w:rPr>
                  </w:pPr>
                </w:p>
              </w:tc>
              <w:tc>
                <w:tcPr>
                  <w:tcW w:w="3214" w:type="dxa"/>
                </w:tcPr>
                <w:p>
                  <w:pPr>
                    <w:spacing w:line="400" w:lineRule="exact"/>
                    <w:rPr>
                      <w:rFonts w:ascii="楷体" w:hAnsi="楷体" w:eastAsia="楷体"/>
                      <w:szCs w:val="21"/>
                    </w:rPr>
                  </w:pPr>
                  <w:r>
                    <w:rPr>
                      <w:rFonts w:hint="eastAsia" w:ascii="楷体" w:hAnsi="楷体" w:eastAsia="楷体"/>
                      <w:szCs w:val="21"/>
                    </w:rPr>
                    <w:t>1配置除尘设备；</w:t>
                  </w:r>
                </w:p>
                <w:p>
                  <w:pPr>
                    <w:rPr>
                      <w:rFonts w:ascii="楷体" w:hAnsi="楷体" w:eastAsia="楷体"/>
                      <w:szCs w:val="21"/>
                    </w:rPr>
                  </w:pPr>
                  <w:r>
                    <w:rPr>
                      <w:rFonts w:hint="eastAsia" w:ascii="楷体" w:hAnsi="楷体" w:eastAsia="楷体"/>
                      <w:color w:val="000000"/>
                      <w:szCs w:val="21"/>
                    </w:rPr>
                    <w:t>2严格执行公司制定的各项环保管理方案和规定</w:t>
                  </w:r>
                </w:p>
              </w:tc>
              <w:tc>
                <w:tcPr>
                  <w:tcW w:w="1038" w:type="dxa"/>
                  <w:vAlign w:val="center"/>
                </w:tcPr>
                <w:p>
                  <w:pPr>
                    <w:jc w:val="center"/>
                    <w:rPr>
                      <w:rFonts w:ascii="楷体" w:hAnsi="楷体" w:eastAsia="楷体"/>
                      <w:szCs w:val="21"/>
                    </w:rPr>
                  </w:pPr>
                  <w:r>
                    <w:rPr>
                      <w:rFonts w:hint="eastAsia" w:ascii="楷体" w:hAnsi="楷体" w:eastAsia="楷体"/>
                      <w:szCs w:val="21"/>
                    </w:rPr>
                    <w:t>生产部</w:t>
                  </w:r>
                </w:p>
              </w:tc>
              <w:tc>
                <w:tcPr>
                  <w:tcW w:w="826" w:type="dxa"/>
                  <w:vAlign w:val="center"/>
                </w:tcPr>
                <w:p>
                  <w:pPr>
                    <w:jc w:val="center"/>
                    <w:rPr>
                      <w:rFonts w:ascii="楷体" w:hAnsi="楷体" w:eastAsia="楷体"/>
                      <w:szCs w:val="21"/>
                    </w:rPr>
                  </w:pPr>
                  <w:r>
                    <w:rPr>
                      <w:rFonts w:hint="eastAsia" w:ascii="楷体" w:hAnsi="楷体" w:eastAsia="楷体"/>
                      <w:szCs w:val="21"/>
                    </w:rPr>
                    <w:t>2019.10-2020.3</w:t>
                  </w:r>
                </w:p>
              </w:tc>
              <w:tc>
                <w:tcPr>
                  <w:tcW w:w="1261" w:type="dxa"/>
                  <w:vAlign w:val="center"/>
                </w:tcPr>
                <w:p>
                  <w:pPr>
                    <w:jc w:val="center"/>
                    <w:rPr>
                      <w:rFonts w:ascii="楷体" w:hAnsi="楷体" w:eastAsia="楷体"/>
                      <w:szCs w:val="21"/>
                    </w:rPr>
                  </w:pPr>
                  <w:r>
                    <w:rPr>
                      <w:rFonts w:hint="eastAsia" w:ascii="楷体" w:hAnsi="楷体" w:eastAsia="楷体"/>
                      <w:szCs w:val="21"/>
                    </w:rPr>
                    <w:t>7000元</w:t>
                  </w:r>
                </w:p>
              </w:tc>
              <w:tc>
                <w:tcPr>
                  <w:tcW w:w="798" w:type="dxa"/>
                </w:tcPr>
                <w:p>
                  <w:pPr>
                    <w:spacing w:line="240" w:lineRule="exact"/>
                    <w:rPr>
                      <w:rFonts w:ascii="楷体" w:hAnsi="楷体" w:eastAsia="楷体"/>
                      <w:szCs w:val="21"/>
                    </w:rPr>
                  </w:pPr>
                </w:p>
                <w:p>
                  <w:pPr>
                    <w:spacing w:line="240" w:lineRule="exact"/>
                    <w:rPr>
                      <w:rFonts w:ascii="楷体" w:hAnsi="楷体" w:eastAsia="楷体"/>
                      <w:szCs w:val="21"/>
                    </w:rPr>
                  </w:pPr>
                  <w:r>
                    <w:rPr>
                      <w:rFonts w:hint="eastAsia" w:ascii="楷体" w:hAnsi="楷体" w:eastAsia="楷体"/>
                      <w:szCs w:val="21"/>
                    </w:rPr>
                    <w:t>邓晟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97" w:type="dxa"/>
                  <w:vAlign w:val="center"/>
                </w:tcPr>
                <w:p>
                  <w:pPr>
                    <w:jc w:val="center"/>
                    <w:rPr>
                      <w:rFonts w:ascii="楷体" w:hAnsi="楷体" w:eastAsia="楷体"/>
                      <w:szCs w:val="21"/>
                    </w:rPr>
                  </w:pPr>
                  <w:r>
                    <w:rPr>
                      <w:rFonts w:hint="eastAsia" w:ascii="楷体" w:hAnsi="楷体" w:eastAsia="楷体"/>
                      <w:szCs w:val="21"/>
                    </w:rPr>
                    <w:t>5</w:t>
                  </w:r>
                </w:p>
              </w:tc>
              <w:tc>
                <w:tcPr>
                  <w:tcW w:w="1200" w:type="dxa"/>
                  <w:vAlign w:val="center"/>
                </w:tcPr>
                <w:p>
                  <w:pPr>
                    <w:jc w:val="center"/>
                    <w:rPr>
                      <w:rFonts w:ascii="楷体" w:hAnsi="楷体" w:eastAsia="楷体"/>
                      <w:szCs w:val="21"/>
                    </w:rPr>
                  </w:pPr>
                  <w:r>
                    <w:rPr>
                      <w:rFonts w:hint="eastAsia" w:ascii="楷体" w:hAnsi="楷体" w:eastAsia="楷体"/>
                      <w:color w:val="000000"/>
                      <w:szCs w:val="21"/>
                    </w:rPr>
                    <w:t>废气排放</w:t>
                  </w:r>
                </w:p>
              </w:tc>
              <w:tc>
                <w:tcPr>
                  <w:tcW w:w="1272" w:type="dxa"/>
                  <w:vAlign w:val="center"/>
                </w:tcPr>
                <w:p>
                  <w:pPr>
                    <w:spacing w:line="400" w:lineRule="exact"/>
                    <w:rPr>
                      <w:rFonts w:ascii="楷体" w:hAnsi="楷体" w:eastAsia="楷体"/>
                      <w:szCs w:val="21"/>
                    </w:rPr>
                  </w:pPr>
                  <w:r>
                    <w:rPr>
                      <w:rFonts w:hint="eastAsia" w:ascii="楷体" w:hAnsi="楷体" w:eastAsia="楷体"/>
                      <w:color w:val="000000"/>
                      <w:szCs w:val="21"/>
                    </w:rPr>
                    <w:t>废气达标排放率100%；</w:t>
                  </w:r>
                </w:p>
              </w:tc>
              <w:tc>
                <w:tcPr>
                  <w:tcW w:w="3214" w:type="dxa"/>
                </w:tcPr>
                <w:p>
                  <w:pPr>
                    <w:rPr>
                      <w:rFonts w:ascii="楷体" w:hAnsi="楷体" w:eastAsia="楷体"/>
                      <w:szCs w:val="21"/>
                    </w:rPr>
                  </w:pPr>
                  <w:r>
                    <w:rPr>
                      <w:rFonts w:hint="eastAsia" w:ascii="楷体" w:hAnsi="楷体" w:eastAsia="楷体"/>
                      <w:szCs w:val="21"/>
                    </w:rPr>
                    <w:t>作业区域独立通风高空排放；</w:t>
                  </w:r>
                </w:p>
                <w:p>
                  <w:pPr>
                    <w:rPr>
                      <w:rFonts w:ascii="楷体" w:hAnsi="楷体" w:eastAsia="楷体"/>
                      <w:szCs w:val="21"/>
                    </w:rPr>
                  </w:pPr>
                  <w:r>
                    <w:rPr>
                      <w:rFonts w:hint="eastAsia" w:ascii="楷体" w:hAnsi="楷体" w:eastAsia="楷体"/>
                      <w:szCs w:val="21"/>
                    </w:rPr>
                    <w:t>油漆吸附清理、水循环沉淀处理</w:t>
                  </w:r>
                </w:p>
              </w:tc>
              <w:tc>
                <w:tcPr>
                  <w:tcW w:w="1038" w:type="dxa"/>
                  <w:vAlign w:val="center"/>
                </w:tcPr>
                <w:p>
                  <w:pPr>
                    <w:jc w:val="center"/>
                    <w:rPr>
                      <w:rFonts w:ascii="楷体" w:hAnsi="楷体" w:eastAsia="楷体"/>
                      <w:szCs w:val="21"/>
                    </w:rPr>
                  </w:pPr>
                  <w:r>
                    <w:rPr>
                      <w:rFonts w:hint="eastAsia" w:ascii="楷体" w:hAnsi="楷体" w:eastAsia="楷体"/>
                      <w:szCs w:val="21"/>
                    </w:rPr>
                    <w:t>生产部</w:t>
                  </w:r>
                </w:p>
              </w:tc>
              <w:tc>
                <w:tcPr>
                  <w:tcW w:w="826" w:type="dxa"/>
                  <w:vAlign w:val="center"/>
                </w:tcPr>
                <w:p>
                  <w:pPr>
                    <w:jc w:val="center"/>
                    <w:rPr>
                      <w:rFonts w:ascii="楷体" w:hAnsi="楷体" w:eastAsia="楷体"/>
                      <w:szCs w:val="21"/>
                    </w:rPr>
                  </w:pPr>
                  <w:r>
                    <w:rPr>
                      <w:rFonts w:hint="eastAsia" w:ascii="楷体" w:hAnsi="楷体" w:eastAsia="楷体"/>
                      <w:szCs w:val="21"/>
                    </w:rPr>
                    <w:t>2019.10-2020.3</w:t>
                  </w:r>
                </w:p>
              </w:tc>
              <w:tc>
                <w:tcPr>
                  <w:tcW w:w="1261" w:type="dxa"/>
                  <w:vAlign w:val="center"/>
                </w:tcPr>
                <w:p>
                  <w:pPr>
                    <w:jc w:val="center"/>
                    <w:rPr>
                      <w:rFonts w:ascii="楷体" w:hAnsi="楷体" w:eastAsia="楷体"/>
                      <w:szCs w:val="21"/>
                    </w:rPr>
                  </w:pPr>
                  <w:r>
                    <w:rPr>
                      <w:rFonts w:hint="eastAsia" w:ascii="楷体" w:hAnsi="楷体" w:eastAsia="楷体"/>
                      <w:szCs w:val="21"/>
                    </w:rPr>
                    <w:t>7000元</w:t>
                  </w:r>
                </w:p>
              </w:tc>
              <w:tc>
                <w:tcPr>
                  <w:tcW w:w="798" w:type="dxa"/>
                </w:tcPr>
                <w:p>
                  <w:pPr>
                    <w:spacing w:line="240" w:lineRule="exact"/>
                    <w:rPr>
                      <w:rFonts w:ascii="楷体" w:hAnsi="楷体" w:eastAsia="楷体"/>
                      <w:szCs w:val="21"/>
                    </w:rPr>
                  </w:pPr>
                </w:p>
                <w:p>
                  <w:pPr>
                    <w:spacing w:line="240" w:lineRule="exact"/>
                    <w:rPr>
                      <w:rFonts w:ascii="楷体" w:hAnsi="楷体" w:eastAsia="楷体"/>
                      <w:szCs w:val="21"/>
                    </w:rPr>
                  </w:pPr>
                  <w:r>
                    <w:rPr>
                      <w:rFonts w:hint="eastAsia" w:ascii="楷体" w:hAnsi="楷体" w:eastAsia="楷体"/>
                      <w:szCs w:val="21"/>
                    </w:rPr>
                    <w:t>邓晟</w:t>
                  </w:r>
                </w:p>
              </w:tc>
            </w:tr>
          </w:tbl>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管理方案由责任部门组织实施，目前在实施中，部分已完成。</w:t>
            </w:r>
          </w:p>
          <w:p>
            <w:pPr>
              <w:spacing w:line="360" w:lineRule="auto"/>
              <w:ind w:firstLine="480" w:firstLineChars="200"/>
              <w:rPr>
                <w:rFonts w:ascii="楷体" w:hAnsi="楷体" w:eastAsia="楷体" w:cs="宋体"/>
                <w:sz w:val="24"/>
                <w:szCs w:val="24"/>
              </w:rPr>
            </w:pPr>
          </w:p>
        </w:tc>
        <w:tc>
          <w:tcPr>
            <w:tcW w:w="1585" w:type="dxa"/>
          </w:tcPr>
          <w:p>
            <w:pPr>
              <w:spacing w:line="360" w:lineRule="auto"/>
              <w:rPr>
                <w:rFonts w:ascii="楷体" w:hAnsi="楷体" w:eastAsia="楷体"/>
                <w:sz w:val="24"/>
                <w:szCs w:val="24"/>
                <w:highlight w:val="yellow"/>
              </w:rPr>
            </w:pPr>
            <w:r>
              <w:rPr>
                <w:rFonts w:ascii="楷体" w:hAnsi="楷体" w:eastAsia="楷体"/>
                <w:sz w:val="24"/>
                <w:szCs w:val="24"/>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242" w:type="dxa"/>
            <w:vAlign w:val="center"/>
          </w:tcPr>
          <w:p>
            <w:pPr>
              <w:spacing w:line="360" w:lineRule="auto"/>
              <w:rPr>
                <w:rFonts w:ascii="楷体" w:hAnsi="楷体" w:eastAsia="楷体"/>
                <w:sz w:val="24"/>
                <w:szCs w:val="24"/>
              </w:rPr>
            </w:pPr>
            <w:r>
              <w:rPr>
                <w:rFonts w:hint="eastAsia" w:ascii="楷体" w:hAnsi="楷体" w:eastAsia="楷体" w:cs="Arial"/>
                <w:sz w:val="24"/>
                <w:szCs w:val="24"/>
              </w:rPr>
              <w:t>组织知识</w:t>
            </w:r>
          </w:p>
        </w:tc>
        <w:tc>
          <w:tcPr>
            <w:tcW w:w="1276" w:type="dxa"/>
          </w:tcPr>
          <w:p>
            <w:pPr>
              <w:spacing w:line="360" w:lineRule="auto"/>
              <w:rPr>
                <w:rFonts w:ascii="楷体" w:hAnsi="楷体" w:eastAsia="楷体" w:cs="Arial"/>
                <w:sz w:val="24"/>
                <w:szCs w:val="24"/>
              </w:rPr>
            </w:pPr>
            <w:r>
              <w:rPr>
                <w:rFonts w:hint="eastAsia" w:ascii="楷体" w:hAnsi="楷体" w:eastAsia="楷体" w:cs="Arial"/>
                <w:sz w:val="24"/>
                <w:szCs w:val="24"/>
              </w:rPr>
              <w:t xml:space="preserve">Q7.1.6 </w:t>
            </w:r>
          </w:p>
        </w:tc>
        <w:tc>
          <w:tcPr>
            <w:tcW w:w="10606" w:type="dxa"/>
          </w:tcPr>
          <w:p>
            <w:pPr>
              <w:tabs>
                <w:tab w:val="left" w:pos="6597"/>
              </w:tabs>
              <w:spacing w:line="360" w:lineRule="auto"/>
              <w:ind w:firstLine="480" w:firstLineChars="200"/>
              <w:rPr>
                <w:rFonts w:ascii="楷体" w:hAnsi="楷体" w:eastAsia="楷体"/>
                <w:sz w:val="24"/>
                <w:szCs w:val="24"/>
              </w:rPr>
            </w:pPr>
            <w:r>
              <w:rPr>
                <w:rFonts w:hint="eastAsia" w:ascii="楷体" w:hAnsi="楷体" w:eastAsia="楷体"/>
                <w:sz w:val="24"/>
                <w:szCs w:val="24"/>
              </w:rPr>
              <w:t>企业确定运行过程所需要的知识，包括内部知识、外部知识。</w:t>
            </w:r>
          </w:p>
          <w:p>
            <w:pPr>
              <w:autoSpaceDE w:val="0"/>
              <w:autoSpaceDN w:val="0"/>
              <w:spacing w:line="360" w:lineRule="auto"/>
              <w:ind w:firstLine="480" w:firstLineChars="200"/>
              <w:rPr>
                <w:rFonts w:ascii="楷体" w:hAnsi="楷体" w:eastAsia="楷体"/>
                <w:sz w:val="24"/>
                <w:szCs w:val="24"/>
              </w:rPr>
            </w:pPr>
            <w:r>
              <w:rPr>
                <w:rFonts w:hint="eastAsia" w:ascii="楷体" w:hAnsi="楷体" w:eastAsia="楷体"/>
                <w:sz w:val="24"/>
                <w:szCs w:val="24"/>
              </w:rPr>
              <w:t>经组织识别，组织内外部知识包括：外部知识、专业知识、管理经验、教训等。</w:t>
            </w:r>
          </w:p>
          <w:p>
            <w:pPr>
              <w:autoSpaceDE w:val="0"/>
              <w:autoSpaceDN w:val="0"/>
              <w:spacing w:line="360" w:lineRule="auto"/>
              <w:ind w:firstLine="480" w:firstLineChars="200"/>
              <w:rPr>
                <w:rFonts w:ascii="楷体" w:hAnsi="楷体" w:eastAsia="楷体"/>
                <w:sz w:val="24"/>
                <w:szCs w:val="24"/>
              </w:rPr>
            </w:pPr>
            <w:r>
              <w:rPr>
                <w:rFonts w:hint="eastAsia" w:ascii="楷体" w:hAnsi="楷体" w:eastAsia="楷体"/>
                <w:sz w:val="24"/>
                <w:szCs w:val="24"/>
              </w:rPr>
              <w:t>查看到组织各部门层次基本有相应的管理制度、岗位职责、工作要求等组织内部知识。此外还通过文件发放、会议传达、专题培训等方式进行内部知识的获得、交流和更新等。</w:t>
            </w:r>
          </w:p>
          <w:p>
            <w:pPr>
              <w:tabs>
                <w:tab w:val="left" w:pos="6597"/>
              </w:tabs>
              <w:spacing w:line="360" w:lineRule="auto"/>
              <w:rPr>
                <w:rFonts w:ascii="楷体" w:hAnsi="楷体" w:eastAsia="楷体"/>
                <w:sz w:val="24"/>
                <w:szCs w:val="24"/>
              </w:rPr>
            </w:pPr>
            <w:r>
              <w:rPr>
                <w:rFonts w:hint="eastAsia" w:ascii="楷体" w:hAnsi="楷体" w:eastAsia="楷体"/>
                <w:sz w:val="24"/>
                <w:szCs w:val="24"/>
              </w:rPr>
              <w:t>企业知识在部门管理基本符合标准要求。</w:t>
            </w:r>
          </w:p>
        </w:tc>
        <w:tc>
          <w:tcPr>
            <w:tcW w:w="1585" w:type="dxa"/>
          </w:tcPr>
          <w:p>
            <w:pPr>
              <w:spacing w:line="360" w:lineRule="auto"/>
              <w:rPr>
                <w:rFonts w:ascii="楷体" w:hAnsi="楷体" w:eastAsia="楷体"/>
                <w:sz w:val="24"/>
                <w:szCs w:val="24"/>
                <w:highlight w:val="yellow"/>
              </w:rPr>
            </w:pPr>
            <w:r>
              <w:rPr>
                <w:rFonts w:ascii="楷体" w:hAnsi="楷体" w:eastAsia="楷体"/>
                <w:sz w:val="24"/>
                <w:szCs w:val="24"/>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242" w:type="dxa"/>
            <w:vAlign w:val="center"/>
          </w:tcPr>
          <w:p>
            <w:pPr>
              <w:spacing w:line="360" w:lineRule="auto"/>
              <w:rPr>
                <w:rFonts w:ascii="楷体" w:hAnsi="楷体" w:eastAsia="楷体"/>
                <w:sz w:val="24"/>
                <w:szCs w:val="24"/>
              </w:rPr>
            </w:pPr>
            <w:r>
              <w:rPr>
                <w:rFonts w:hint="eastAsia" w:ascii="楷体" w:hAnsi="楷体" w:eastAsia="楷体"/>
                <w:sz w:val="24"/>
                <w:szCs w:val="24"/>
              </w:rPr>
              <w:t>人力资源、能力、意识</w:t>
            </w:r>
          </w:p>
        </w:tc>
        <w:tc>
          <w:tcPr>
            <w:tcW w:w="1276" w:type="dxa"/>
          </w:tcPr>
          <w:p>
            <w:pPr>
              <w:spacing w:line="360" w:lineRule="auto"/>
              <w:rPr>
                <w:rFonts w:ascii="楷体" w:hAnsi="楷体" w:eastAsia="楷体"/>
                <w:sz w:val="24"/>
                <w:szCs w:val="24"/>
              </w:rPr>
            </w:pPr>
            <w:r>
              <w:rPr>
                <w:rFonts w:hint="eastAsia" w:ascii="楷体" w:hAnsi="楷体" w:eastAsia="楷体"/>
                <w:sz w:val="24"/>
                <w:szCs w:val="24"/>
              </w:rPr>
              <w:t>Q7.1.2、</w:t>
            </w:r>
          </w:p>
          <w:p>
            <w:pPr>
              <w:spacing w:line="360" w:lineRule="auto"/>
              <w:rPr>
                <w:rFonts w:ascii="楷体" w:hAnsi="楷体" w:eastAsia="楷体"/>
                <w:sz w:val="24"/>
                <w:szCs w:val="24"/>
              </w:rPr>
            </w:pPr>
            <w:r>
              <w:rPr>
                <w:rFonts w:hint="eastAsia" w:ascii="楷体" w:hAnsi="楷体" w:eastAsia="楷体"/>
                <w:sz w:val="24"/>
                <w:szCs w:val="24"/>
              </w:rPr>
              <w:t>Q7.2、7.3</w:t>
            </w:r>
          </w:p>
          <w:p>
            <w:pPr>
              <w:spacing w:line="360" w:lineRule="auto"/>
              <w:rPr>
                <w:rFonts w:ascii="楷体" w:hAnsi="楷体" w:eastAsia="楷体"/>
                <w:sz w:val="24"/>
                <w:szCs w:val="24"/>
              </w:rPr>
            </w:pPr>
            <w:r>
              <w:rPr>
                <w:rFonts w:hint="eastAsia" w:ascii="楷体" w:hAnsi="楷体" w:eastAsia="楷体"/>
                <w:sz w:val="24"/>
                <w:szCs w:val="24"/>
              </w:rPr>
              <w:t>E7.2、7.3</w:t>
            </w:r>
          </w:p>
          <w:p>
            <w:pPr>
              <w:spacing w:line="360" w:lineRule="auto"/>
              <w:rPr>
                <w:rFonts w:ascii="楷体" w:hAnsi="楷体" w:eastAsia="楷体"/>
                <w:sz w:val="24"/>
                <w:szCs w:val="24"/>
              </w:rPr>
            </w:pPr>
          </w:p>
        </w:tc>
        <w:tc>
          <w:tcPr>
            <w:tcW w:w="10606" w:type="dxa"/>
          </w:tcPr>
          <w:p>
            <w:pPr>
              <w:spacing w:line="360" w:lineRule="auto"/>
              <w:ind w:firstLine="420"/>
              <w:rPr>
                <w:rFonts w:ascii="楷体" w:hAnsi="楷体" w:eastAsia="楷体"/>
                <w:sz w:val="24"/>
                <w:szCs w:val="24"/>
              </w:rPr>
            </w:pPr>
            <w:r>
              <w:rPr>
                <w:rFonts w:hint="eastAsia" w:ascii="楷体" w:hAnsi="楷体" w:eastAsia="楷体"/>
                <w:sz w:val="24"/>
                <w:szCs w:val="24"/>
              </w:rPr>
              <w:t>编制执行《人力资源控制程序</w:t>
            </w:r>
            <w:r>
              <w:rPr>
                <w:rFonts w:ascii="楷体" w:hAnsi="楷体" w:eastAsia="楷体"/>
                <w:sz w:val="24"/>
                <w:szCs w:val="24"/>
              </w:rPr>
              <w:t>QJKJ-CX03-2019</w:t>
            </w:r>
            <w:r>
              <w:rPr>
                <w:rFonts w:hint="eastAsia" w:ascii="楷体" w:hAnsi="楷体" w:eastAsia="楷体"/>
                <w:sz w:val="24"/>
                <w:szCs w:val="24"/>
              </w:rPr>
              <w:t>》，规定了人力资源配备、培训计划与实施，考核与认可等予以规定。</w:t>
            </w:r>
          </w:p>
          <w:p>
            <w:pPr>
              <w:spacing w:line="360" w:lineRule="auto"/>
              <w:ind w:firstLine="420"/>
              <w:rPr>
                <w:rFonts w:ascii="楷体" w:hAnsi="楷体" w:eastAsia="楷体"/>
                <w:sz w:val="24"/>
                <w:szCs w:val="24"/>
              </w:rPr>
            </w:pPr>
            <w:r>
              <w:rPr>
                <w:rFonts w:hint="eastAsia" w:ascii="楷体" w:hAnsi="楷体" w:eastAsia="楷体"/>
                <w:sz w:val="24"/>
                <w:szCs w:val="24"/>
              </w:rPr>
              <w:t>企业配置了适宜的人员：如管理人员、技术人员、销售人员、生产操作工、特种作业操作人员、检验人员、库管员等；人员配置基本满足日常管理体系运行要求。</w:t>
            </w:r>
          </w:p>
          <w:p>
            <w:pPr>
              <w:spacing w:line="360" w:lineRule="auto"/>
              <w:ind w:firstLine="420"/>
              <w:rPr>
                <w:rFonts w:ascii="楷体" w:hAnsi="楷体" w:eastAsia="楷体"/>
                <w:sz w:val="24"/>
                <w:szCs w:val="24"/>
              </w:rPr>
            </w:pPr>
            <w:r>
              <w:rPr>
                <w:rFonts w:hint="eastAsia" w:ascii="楷体" w:hAnsi="楷体" w:eastAsia="楷体"/>
                <w:sz w:val="24"/>
                <w:szCs w:val="24"/>
              </w:rPr>
              <w:t>行政部对各岗位人员进行能力考核，根据结果采取措施，通常是采取培训方式。</w:t>
            </w:r>
          </w:p>
          <w:p>
            <w:pPr>
              <w:spacing w:line="360" w:lineRule="auto"/>
              <w:ind w:firstLine="420"/>
              <w:rPr>
                <w:rFonts w:ascii="楷体" w:hAnsi="楷体" w:eastAsia="楷体" w:cs="Arial"/>
                <w:sz w:val="24"/>
                <w:szCs w:val="24"/>
              </w:rPr>
            </w:pPr>
            <w:r>
              <w:rPr>
                <w:rFonts w:hint="eastAsia" w:ascii="楷体" w:hAnsi="楷体" w:eastAsia="楷体"/>
                <w:sz w:val="24"/>
                <w:szCs w:val="24"/>
              </w:rPr>
              <w:t>查到“年度培训计划”，编制: 行政部  批准: 聂希，日期: 2019年7月10日。培训内容涉及：标准、体系文件、内审员、岗位技能、环境、安全管理目标及方案、相关法规等。</w:t>
            </w:r>
          </w:p>
          <w:p>
            <w:pPr>
              <w:spacing w:line="360" w:lineRule="auto"/>
              <w:ind w:firstLine="420"/>
              <w:rPr>
                <w:rFonts w:ascii="楷体" w:hAnsi="楷体" w:eastAsia="楷体"/>
                <w:sz w:val="24"/>
                <w:szCs w:val="24"/>
              </w:rPr>
            </w:pPr>
            <w:r>
              <w:rPr>
                <w:rFonts w:hint="eastAsia" w:ascii="楷体" w:hAnsi="楷体" w:eastAsia="楷体"/>
                <w:sz w:val="24"/>
                <w:szCs w:val="24"/>
              </w:rPr>
              <w:t>抽查：《培训记录及培训效果评价表》，</w:t>
            </w:r>
          </w:p>
          <w:p>
            <w:pPr>
              <w:spacing w:line="360" w:lineRule="auto"/>
              <w:ind w:firstLine="420"/>
              <w:rPr>
                <w:rFonts w:ascii="楷体" w:hAnsi="楷体" w:eastAsia="楷体"/>
                <w:sz w:val="24"/>
                <w:szCs w:val="24"/>
              </w:rPr>
            </w:pPr>
            <w:r>
              <w:rPr>
                <w:rFonts w:ascii="楷体" w:hAnsi="楷体" w:eastAsia="楷体"/>
                <w:sz w:val="24"/>
                <w:szCs w:val="24"/>
              </w:rPr>
              <w:t>1、2019.10.</w:t>
            </w:r>
            <w:r>
              <w:rPr>
                <w:rFonts w:hint="eastAsia" w:ascii="楷体" w:hAnsi="楷体" w:eastAsia="楷体"/>
                <w:sz w:val="24"/>
                <w:szCs w:val="24"/>
              </w:rPr>
              <w:t>11</w:t>
            </w:r>
            <w:r>
              <w:rPr>
                <w:rFonts w:ascii="楷体" w:hAnsi="楷体" w:eastAsia="楷体"/>
                <w:sz w:val="24"/>
                <w:szCs w:val="24"/>
              </w:rPr>
              <w:t>日管理手册、程序文件培训，培训方式授课，有培训内容摘要，经现场讨论考核合格。</w:t>
            </w:r>
          </w:p>
          <w:p>
            <w:pPr>
              <w:spacing w:line="360" w:lineRule="auto"/>
              <w:ind w:firstLine="420"/>
              <w:rPr>
                <w:rFonts w:ascii="楷体" w:hAnsi="楷体" w:eastAsia="楷体"/>
                <w:sz w:val="24"/>
                <w:szCs w:val="24"/>
              </w:rPr>
            </w:pPr>
            <w:r>
              <w:rPr>
                <w:rFonts w:ascii="楷体" w:hAnsi="楷体" w:eastAsia="楷体"/>
                <w:sz w:val="24"/>
                <w:szCs w:val="24"/>
              </w:rPr>
              <w:t>2、2019.11.</w:t>
            </w:r>
            <w:r>
              <w:rPr>
                <w:rFonts w:hint="eastAsia" w:ascii="楷体" w:hAnsi="楷体" w:eastAsia="楷体"/>
                <w:sz w:val="24"/>
                <w:szCs w:val="24"/>
              </w:rPr>
              <w:t>4</w:t>
            </w:r>
            <w:r>
              <w:rPr>
                <w:rFonts w:ascii="楷体" w:hAnsi="楷体" w:eastAsia="楷体"/>
                <w:sz w:val="24"/>
                <w:szCs w:val="24"/>
              </w:rPr>
              <w:t>日环境、安全管理目标及方案的培训，培训方式授课，有培训内容摘要，经现场讨论考核合格。</w:t>
            </w:r>
          </w:p>
          <w:p>
            <w:pPr>
              <w:spacing w:line="360" w:lineRule="auto"/>
              <w:ind w:firstLine="420"/>
              <w:rPr>
                <w:rFonts w:ascii="楷体" w:hAnsi="楷体" w:eastAsia="楷体"/>
                <w:sz w:val="24"/>
                <w:szCs w:val="24"/>
              </w:rPr>
            </w:pPr>
            <w:r>
              <w:rPr>
                <w:rFonts w:ascii="楷体" w:hAnsi="楷体" w:eastAsia="楷体"/>
                <w:sz w:val="24"/>
                <w:szCs w:val="24"/>
              </w:rPr>
              <w:t>3、2019.</w:t>
            </w:r>
            <w:r>
              <w:rPr>
                <w:rFonts w:hint="eastAsia" w:ascii="楷体" w:hAnsi="楷体" w:eastAsia="楷体"/>
                <w:sz w:val="24"/>
                <w:szCs w:val="24"/>
              </w:rPr>
              <w:t>12</w:t>
            </w:r>
            <w:r>
              <w:rPr>
                <w:rFonts w:ascii="楷体" w:hAnsi="楷体" w:eastAsia="楷体"/>
                <w:sz w:val="24"/>
                <w:szCs w:val="24"/>
              </w:rPr>
              <w:t>.</w:t>
            </w:r>
            <w:r>
              <w:rPr>
                <w:rFonts w:hint="eastAsia" w:ascii="楷体" w:hAnsi="楷体" w:eastAsia="楷体"/>
                <w:sz w:val="24"/>
                <w:szCs w:val="24"/>
              </w:rPr>
              <w:t>1</w:t>
            </w:r>
            <w:r>
              <w:rPr>
                <w:rFonts w:ascii="楷体" w:hAnsi="楷体" w:eastAsia="楷体"/>
                <w:sz w:val="24"/>
                <w:szCs w:val="24"/>
              </w:rPr>
              <w:t>日</w:t>
            </w:r>
            <w:r>
              <w:rPr>
                <w:rFonts w:hint="eastAsia" w:ascii="楷体" w:hAnsi="楷体" w:eastAsia="楷体"/>
                <w:sz w:val="24"/>
                <w:szCs w:val="24"/>
              </w:rPr>
              <w:t>管理体系内审员</w:t>
            </w:r>
            <w:r>
              <w:rPr>
                <w:rFonts w:ascii="楷体" w:hAnsi="楷体" w:eastAsia="楷体"/>
                <w:sz w:val="24"/>
                <w:szCs w:val="24"/>
              </w:rPr>
              <w:t>培训，培训方式授课，有培训内容摘要，经现场讨论考核合格。</w:t>
            </w:r>
          </w:p>
          <w:p>
            <w:pPr>
              <w:spacing w:line="360" w:lineRule="auto"/>
              <w:ind w:firstLine="420"/>
              <w:rPr>
                <w:rFonts w:ascii="楷体" w:hAnsi="楷体" w:eastAsia="楷体"/>
                <w:sz w:val="24"/>
                <w:szCs w:val="24"/>
              </w:rPr>
            </w:pPr>
            <w:r>
              <w:rPr>
                <w:rFonts w:ascii="楷体" w:hAnsi="楷体" w:eastAsia="楷体"/>
                <w:sz w:val="24"/>
                <w:szCs w:val="24"/>
              </w:rPr>
              <w:t>4、2020.3.28日公司安全管理人员培训及工作布置，培训方式授课，有培训内容摘要，经现场讨论考核合格。</w:t>
            </w:r>
          </w:p>
          <w:p>
            <w:pPr>
              <w:spacing w:line="360" w:lineRule="auto"/>
              <w:ind w:firstLine="420"/>
              <w:rPr>
                <w:rFonts w:ascii="楷体" w:hAnsi="楷体" w:eastAsia="楷体"/>
                <w:sz w:val="24"/>
                <w:szCs w:val="24"/>
              </w:rPr>
            </w:pPr>
            <w:r>
              <w:rPr>
                <w:rFonts w:ascii="楷体" w:hAnsi="楷体" w:eastAsia="楷体"/>
                <w:sz w:val="24"/>
                <w:szCs w:val="24"/>
              </w:rPr>
              <w:t>5、</w:t>
            </w:r>
            <w:r>
              <w:rPr>
                <w:rFonts w:hint="eastAsia" w:ascii="楷体" w:hAnsi="楷体" w:eastAsia="楷体"/>
                <w:sz w:val="24"/>
                <w:szCs w:val="24"/>
              </w:rPr>
              <w:t>抽查三级安全教育培训情况，公司提供了电焊工李平、喷粉工付文红、折弯工黄远、组装工敖林辉、行政文员黄培英、技术人员刘曌军等人员的三级安全教育培训记录卡（I级公司级安全教育，培训讲师：傅志远，培训日期：2019-12-21；II级部门级安全教育，培训讲师：黄涛，培训日期：2019.12.22-23；III级班组级安全教育，培训讲师：黄涛，培训日期：2019.12.24-25，培训考核合格。</w:t>
            </w:r>
          </w:p>
          <w:p>
            <w:pPr>
              <w:spacing w:line="360" w:lineRule="auto"/>
              <w:ind w:firstLine="420"/>
              <w:rPr>
                <w:rFonts w:ascii="楷体" w:hAnsi="楷体" w:eastAsia="楷体"/>
                <w:sz w:val="24"/>
                <w:szCs w:val="24"/>
              </w:rPr>
            </w:pPr>
            <w:r>
              <w:rPr>
                <w:rFonts w:hint="eastAsia" w:ascii="楷体" w:hAnsi="楷体" w:eastAsia="楷体"/>
                <w:sz w:val="24"/>
                <w:szCs w:val="24"/>
              </w:rPr>
              <w:t>另抽其他培训记录，有培训内容摘要，考核合格。</w:t>
            </w:r>
          </w:p>
          <w:p>
            <w:pPr>
              <w:spacing w:line="360" w:lineRule="auto"/>
              <w:ind w:firstLine="420"/>
              <w:rPr>
                <w:rFonts w:ascii="楷体" w:hAnsi="楷体" w:eastAsia="楷体"/>
                <w:sz w:val="24"/>
                <w:szCs w:val="24"/>
              </w:rPr>
            </w:pPr>
            <w:r>
              <w:rPr>
                <w:rFonts w:ascii="楷体" w:hAnsi="楷体" w:eastAsia="楷体"/>
                <w:sz w:val="24"/>
                <w:szCs w:val="24"/>
              </w:rPr>
              <w:t>通过培训、面谈等沟通方式，提高了员工的素质，增强了主人翁的责任感，使员工认识到了自身贡献的重要性。员工对公司的方针及部门目标基本了解，并且能够意识到自己岗位对整个流程的重要性和偏离的后果。</w:t>
            </w:r>
          </w:p>
          <w:p>
            <w:pPr>
              <w:spacing w:line="360" w:lineRule="auto"/>
              <w:ind w:firstLine="420"/>
              <w:rPr>
                <w:rFonts w:ascii="楷体" w:hAnsi="楷体" w:eastAsia="楷体"/>
                <w:sz w:val="24"/>
                <w:szCs w:val="24"/>
              </w:rPr>
            </w:pPr>
            <w:r>
              <w:rPr>
                <w:rFonts w:ascii="楷体" w:hAnsi="楷体" w:eastAsia="楷体"/>
                <w:sz w:val="24"/>
                <w:szCs w:val="24"/>
              </w:rPr>
              <w:t>查特种作业人员：</w:t>
            </w:r>
          </w:p>
          <w:p>
            <w:pPr>
              <w:spacing w:line="360" w:lineRule="auto"/>
              <w:ind w:firstLine="420"/>
              <w:rPr>
                <w:rFonts w:ascii="楷体" w:hAnsi="楷体" w:eastAsia="楷体"/>
                <w:sz w:val="24"/>
                <w:szCs w:val="24"/>
              </w:rPr>
            </w:pPr>
            <w:r>
              <w:rPr>
                <w:rFonts w:ascii="楷体" w:hAnsi="楷体" w:eastAsia="楷体"/>
                <w:sz w:val="24"/>
                <w:szCs w:val="24"/>
              </w:rPr>
              <w:t>提供了特种作业操作证，作业项目：熔化焊接与热切割作业；</w:t>
            </w:r>
          </w:p>
          <w:p>
            <w:pPr>
              <w:spacing w:line="360" w:lineRule="auto"/>
              <w:ind w:firstLine="420"/>
              <w:rPr>
                <w:rFonts w:ascii="楷体" w:hAnsi="楷体" w:eastAsia="楷体"/>
                <w:sz w:val="24"/>
                <w:szCs w:val="24"/>
              </w:rPr>
            </w:pPr>
            <w:r>
              <w:rPr>
                <w:rFonts w:ascii="楷体" w:hAnsi="楷体" w:eastAsia="楷体"/>
                <w:sz w:val="24"/>
                <w:szCs w:val="24"/>
              </w:rPr>
              <w:t>姓名：兰伟根，证件编号T3622</w:t>
            </w:r>
            <w:r>
              <w:rPr>
                <w:rFonts w:hint="eastAsia" w:ascii="楷体" w:hAnsi="楷体" w:eastAsia="楷体"/>
                <w:sz w:val="24"/>
                <w:szCs w:val="24"/>
              </w:rPr>
              <w:t>2319740502351X</w:t>
            </w:r>
            <w:r>
              <w:rPr>
                <w:rFonts w:ascii="楷体" w:hAnsi="楷体" w:eastAsia="楷体"/>
                <w:sz w:val="24"/>
                <w:szCs w:val="24"/>
              </w:rPr>
              <w:t>，有效期：2022.01.21；</w:t>
            </w:r>
          </w:p>
          <w:p>
            <w:pPr>
              <w:spacing w:line="360" w:lineRule="auto"/>
              <w:ind w:firstLine="420"/>
              <w:rPr>
                <w:rFonts w:ascii="楷体" w:hAnsi="楷体" w:eastAsia="楷体"/>
                <w:sz w:val="24"/>
                <w:szCs w:val="24"/>
              </w:rPr>
            </w:pPr>
            <w:r>
              <w:rPr>
                <w:rFonts w:ascii="楷体" w:hAnsi="楷体" w:eastAsia="楷体"/>
                <w:sz w:val="24"/>
                <w:szCs w:val="24"/>
              </w:rPr>
              <w:t>姓名：张小军，证件编号T</w:t>
            </w:r>
            <w:r>
              <w:rPr>
                <w:rFonts w:hint="eastAsia" w:ascii="楷体" w:hAnsi="楷体" w:eastAsia="楷体"/>
                <w:sz w:val="24"/>
                <w:szCs w:val="24"/>
              </w:rPr>
              <w:t>362223197404303536</w:t>
            </w:r>
            <w:r>
              <w:rPr>
                <w:rFonts w:ascii="楷体" w:hAnsi="楷体" w:eastAsia="楷体"/>
                <w:sz w:val="24"/>
                <w:szCs w:val="24"/>
              </w:rPr>
              <w:t>，有效期：2022.01.21。</w:t>
            </w:r>
          </w:p>
          <w:p>
            <w:pPr>
              <w:autoSpaceDE w:val="0"/>
              <w:autoSpaceDN w:val="0"/>
              <w:spacing w:line="360" w:lineRule="auto"/>
              <w:ind w:firstLine="0" w:firstLineChars="200"/>
              <w:rPr>
                <w:rFonts w:eastAsiaTheme="minorEastAsia"/>
                <w:sz w:val="24"/>
                <w:szCs w:val="24"/>
              </w:rPr>
            </w:pPr>
            <w:r>
              <w:rPr>
                <w:rFonts w:eastAsiaTheme="minorEastAsia"/>
                <w:snapToGrid w:val="0"/>
                <w:color w:val="000000"/>
                <w:w w:val="0"/>
                <w:sz w:val="0"/>
                <w:szCs w:val="0"/>
                <w:u w:color="000000"/>
                <w:shd w:val="clear" w:color="000000" w:fill="000000"/>
              </w:rPr>
              <w:t xml:space="preserve"> </w:t>
            </w:r>
            <w:r>
              <w:rPr>
                <w:rFonts w:eastAsiaTheme="minorEastAsia"/>
                <w:color w:val="000000"/>
                <w:w w:val="0"/>
                <w:sz w:val="0"/>
              </w:rPr>
              <w:drawing>
                <wp:inline distT="0" distB="0" distL="0" distR="0">
                  <wp:extent cx="5839460" cy="2251710"/>
                  <wp:effectExtent l="19050" t="0" r="8861" b="0"/>
                  <wp:docPr id="7" name="图片 7" descr="C:\Users\ADMINI~1.USE\AppData\Local\Temp\158693348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1.USE\AppData\Local\Temp\1586933488(1).png"/>
                          <pic:cNvPicPr>
                            <a:picLocks noChangeAspect="1" noChangeArrowheads="1"/>
                          </pic:cNvPicPr>
                        </pic:nvPicPr>
                        <pic:blipFill>
                          <a:blip r:embed="rId6"/>
                          <a:srcRect/>
                          <a:stretch>
                            <a:fillRect/>
                          </a:stretch>
                        </pic:blipFill>
                        <pic:spPr>
                          <a:xfrm>
                            <a:off x="0" y="0"/>
                            <a:ext cx="5840038" cy="2252350"/>
                          </a:xfrm>
                          <a:prstGeom prst="rect">
                            <a:avLst/>
                          </a:prstGeom>
                          <a:noFill/>
                          <a:ln w="9525">
                            <a:noFill/>
                            <a:miter lim="800000"/>
                            <a:headEnd/>
                            <a:tailEnd/>
                          </a:ln>
                        </pic:spPr>
                      </pic:pic>
                    </a:graphicData>
                  </a:graphic>
                </wp:inline>
              </w:drawing>
            </w:r>
          </w:p>
          <w:p>
            <w:pPr>
              <w:spacing w:line="360" w:lineRule="auto"/>
              <w:ind w:firstLine="420"/>
              <w:rPr>
                <w:rFonts w:ascii="楷体" w:hAnsi="楷体" w:eastAsia="楷体"/>
                <w:sz w:val="24"/>
                <w:szCs w:val="24"/>
              </w:rPr>
            </w:pPr>
            <w:r>
              <w:rPr>
                <w:rFonts w:ascii="楷体" w:hAnsi="楷体" w:eastAsia="楷体"/>
                <w:sz w:val="24"/>
                <w:szCs w:val="24"/>
              </w:rPr>
              <w:t>提供起重机操作员证，姓名：曾艳平，证件编号：</w:t>
            </w:r>
            <w:r>
              <w:rPr>
                <w:rFonts w:hint="eastAsia" w:ascii="楷体" w:hAnsi="楷体" w:eastAsia="楷体"/>
                <w:sz w:val="24"/>
                <w:szCs w:val="24"/>
              </w:rPr>
              <w:t>362223195902032610，作业项目代号：Q4，有效期至：2020-12-07发证机关：宜春市质量技术监督局</w:t>
            </w:r>
          </w:p>
          <w:p>
            <w:pPr>
              <w:autoSpaceDE w:val="0"/>
              <w:autoSpaceDN w:val="0"/>
              <w:spacing w:line="360" w:lineRule="auto"/>
              <w:ind w:firstLine="480" w:firstLineChars="200"/>
              <w:rPr>
                <w:rFonts w:ascii="楷体" w:hAnsi="楷体" w:eastAsia="楷体"/>
                <w:sz w:val="24"/>
                <w:szCs w:val="24"/>
              </w:rPr>
            </w:pPr>
            <w:r>
              <w:rPr>
                <w:rFonts w:hAnsiTheme="minorEastAsia" w:eastAsiaTheme="minorEastAsia"/>
                <w:sz w:val="24"/>
                <w:szCs w:val="24"/>
              </w:rPr>
              <w:drawing>
                <wp:inline distT="0" distB="0" distL="0" distR="0">
                  <wp:extent cx="2926080" cy="2155825"/>
                  <wp:effectExtent l="19050" t="0" r="7531" b="0"/>
                  <wp:docPr id="11" name="图片 10" descr="C:\Users\ADMINI~1.USE\AppData\Local\Temp\158693358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C:\Users\ADMINI~1.USE\AppData\Local\Temp\1586933589(1).png"/>
                          <pic:cNvPicPr>
                            <a:picLocks noChangeAspect="1" noChangeArrowheads="1"/>
                          </pic:cNvPicPr>
                        </pic:nvPicPr>
                        <pic:blipFill>
                          <a:blip r:embed="rId7"/>
                          <a:srcRect/>
                          <a:stretch>
                            <a:fillRect/>
                          </a:stretch>
                        </pic:blipFill>
                        <pic:spPr>
                          <a:xfrm>
                            <a:off x="0" y="0"/>
                            <a:ext cx="2928509" cy="2158050"/>
                          </a:xfrm>
                          <a:prstGeom prst="rect">
                            <a:avLst/>
                          </a:prstGeom>
                          <a:noFill/>
                          <a:ln w="9525">
                            <a:noFill/>
                            <a:miter lim="800000"/>
                            <a:headEnd/>
                            <a:tailEnd/>
                          </a:ln>
                        </pic:spPr>
                      </pic:pic>
                    </a:graphicData>
                  </a:graphic>
                </wp:inline>
              </w:drawing>
            </w:r>
            <w:r>
              <w:rPr>
                <w:rFonts w:ascii="楷体" w:hAnsi="楷体" w:eastAsia="楷体"/>
                <w:sz w:val="24"/>
                <w:szCs w:val="24"/>
              </w:rPr>
              <w:drawing>
                <wp:inline distT="0" distB="0" distL="0" distR="0">
                  <wp:extent cx="3162300" cy="2094230"/>
                  <wp:effectExtent l="19050" t="0" r="0" b="0"/>
                  <wp:docPr id="9" name="图片 8" descr="C:\Users\ADMINI~1.USE\AppData\Local\Temp\15869335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C:\Users\ADMINI~1.USE\AppData\Local\Temp\1586933536(1).png"/>
                          <pic:cNvPicPr>
                            <a:picLocks noChangeAspect="1" noChangeArrowheads="1"/>
                          </pic:cNvPicPr>
                        </pic:nvPicPr>
                        <pic:blipFill>
                          <a:blip r:embed="rId8"/>
                          <a:srcRect/>
                          <a:stretch>
                            <a:fillRect/>
                          </a:stretch>
                        </pic:blipFill>
                        <pic:spPr>
                          <a:xfrm>
                            <a:off x="0" y="0"/>
                            <a:ext cx="3162956" cy="2094600"/>
                          </a:xfrm>
                          <a:prstGeom prst="rect">
                            <a:avLst/>
                          </a:prstGeom>
                          <a:noFill/>
                          <a:ln w="9525">
                            <a:noFill/>
                            <a:miter lim="800000"/>
                            <a:headEnd/>
                            <a:tailEnd/>
                          </a:ln>
                        </pic:spPr>
                      </pic:pic>
                    </a:graphicData>
                  </a:graphic>
                </wp:inline>
              </w:drawing>
            </w:r>
          </w:p>
          <w:p>
            <w:pPr>
              <w:autoSpaceDE w:val="0"/>
              <w:autoSpaceDN w:val="0"/>
              <w:spacing w:line="360" w:lineRule="auto"/>
              <w:ind w:firstLine="480" w:firstLineChars="200"/>
              <w:rPr>
                <w:rFonts w:ascii="楷体" w:hAnsi="楷体" w:eastAsia="楷体"/>
                <w:sz w:val="24"/>
                <w:szCs w:val="24"/>
              </w:rPr>
            </w:pPr>
            <w:r>
              <w:rPr>
                <w:rFonts w:ascii="楷体" w:hAnsi="楷体" w:eastAsia="楷体"/>
                <w:sz w:val="24"/>
                <w:szCs w:val="24"/>
              </w:rPr>
              <w:t>以上见附件</w:t>
            </w:r>
            <w:r>
              <w:rPr>
                <w:rFonts w:hint="eastAsia" w:ascii="楷体" w:hAnsi="楷体" w:eastAsia="楷体"/>
                <w:sz w:val="24"/>
                <w:szCs w:val="24"/>
              </w:rPr>
              <w:t>。</w:t>
            </w:r>
          </w:p>
          <w:p>
            <w:pPr>
              <w:tabs>
                <w:tab w:val="left" w:pos="6597"/>
              </w:tabs>
              <w:spacing w:line="360" w:lineRule="auto"/>
              <w:ind w:firstLine="480" w:firstLineChars="200"/>
              <w:rPr>
                <w:rFonts w:ascii="楷体" w:hAnsi="楷体" w:eastAsia="楷体"/>
                <w:sz w:val="24"/>
                <w:szCs w:val="24"/>
                <w:highlight w:val="yellow"/>
              </w:rPr>
            </w:pPr>
            <w:r>
              <w:rPr>
                <w:rFonts w:hint="eastAsia" w:ascii="楷体" w:hAnsi="楷体" w:eastAsia="楷体" w:cs="宋体"/>
                <w:sz w:val="24"/>
                <w:szCs w:val="24"/>
              </w:rPr>
              <w:t>企业已对人力资源的管理、控制进行了策划，并已实施控制，针对体系知识的系统深入学习进行了现场交流。</w:t>
            </w:r>
          </w:p>
        </w:tc>
        <w:tc>
          <w:tcPr>
            <w:tcW w:w="1585" w:type="dxa"/>
          </w:tcPr>
          <w:p>
            <w:pPr>
              <w:spacing w:line="360" w:lineRule="auto"/>
              <w:rPr>
                <w:rFonts w:ascii="楷体" w:hAnsi="楷体" w:eastAsia="楷体"/>
                <w:sz w:val="24"/>
                <w:szCs w:val="24"/>
                <w:highlight w:val="yellow"/>
              </w:rPr>
            </w:pPr>
            <w:r>
              <w:rPr>
                <w:rFonts w:ascii="楷体" w:hAnsi="楷体" w:eastAsia="楷体"/>
                <w:sz w:val="24"/>
                <w:szCs w:val="24"/>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242" w:type="dxa"/>
            <w:vAlign w:val="center"/>
          </w:tcPr>
          <w:p>
            <w:pPr>
              <w:spacing w:line="360" w:lineRule="auto"/>
              <w:rPr>
                <w:rFonts w:ascii="楷体" w:hAnsi="楷体" w:eastAsia="楷体"/>
                <w:sz w:val="24"/>
                <w:szCs w:val="24"/>
              </w:rPr>
            </w:pPr>
            <w:r>
              <w:rPr>
                <w:rFonts w:hint="eastAsia" w:ascii="楷体" w:hAnsi="楷体" w:eastAsia="楷体" w:cs="Arial"/>
                <w:sz w:val="24"/>
                <w:szCs w:val="24"/>
              </w:rPr>
              <w:t>形成文件的信息</w:t>
            </w:r>
          </w:p>
        </w:tc>
        <w:tc>
          <w:tcPr>
            <w:tcW w:w="1276" w:type="dxa"/>
          </w:tcPr>
          <w:p>
            <w:pPr>
              <w:spacing w:line="360" w:lineRule="auto"/>
              <w:rPr>
                <w:rFonts w:ascii="楷体" w:hAnsi="楷体" w:eastAsia="楷体" w:cs="Arial"/>
                <w:sz w:val="24"/>
                <w:szCs w:val="24"/>
              </w:rPr>
            </w:pPr>
            <w:r>
              <w:rPr>
                <w:rFonts w:hint="eastAsia" w:ascii="楷体" w:hAnsi="楷体" w:eastAsia="楷体" w:cs="Arial"/>
                <w:sz w:val="24"/>
                <w:szCs w:val="24"/>
              </w:rPr>
              <w:t>Q7.5</w:t>
            </w:r>
          </w:p>
          <w:p>
            <w:pPr>
              <w:spacing w:line="360" w:lineRule="auto"/>
              <w:rPr>
                <w:rFonts w:ascii="楷体" w:hAnsi="楷体" w:eastAsia="楷体" w:cs="Arial"/>
                <w:sz w:val="24"/>
                <w:szCs w:val="24"/>
              </w:rPr>
            </w:pPr>
            <w:r>
              <w:rPr>
                <w:rFonts w:hint="eastAsia" w:ascii="楷体" w:hAnsi="楷体" w:eastAsia="楷体" w:cs="Arial"/>
                <w:sz w:val="24"/>
                <w:szCs w:val="24"/>
              </w:rPr>
              <w:t>E7.5</w:t>
            </w:r>
          </w:p>
          <w:p>
            <w:pPr>
              <w:spacing w:line="360" w:lineRule="auto"/>
              <w:rPr>
                <w:rFonts w:ascii="楷体" w:hAnsi="楷体" w:eastAsia="楷体" w:cs="Arial"/>
                <w:sz w:val="24"/>
                <w:szCs w:val="24"/>
              </w:rPr>
            </w:pPr>
          </w:p>
        </w:tc>
        <w:tc>
          <w:tcPr>
            <w:tcW w:w="10606" w:type="dxa"/>
          </w:tcPr>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编制了《文件控制程序</w:t>
            </w:r>
            <w:r>
              <w:rPr>
                <w:rFonts w:ascii="楷体" w:hAnsi="楷体" w:eastAsia="楷体" w:cs="宋体"/>
                <w:sz w:val="24"/>
                <w:szCs w:val="24"/>
              </w:rPr>
              <w:t>QJKJ-CX05-2019</w:t>
            </w:r>
            <w:r>
              <w:rPr>
                <w:rFonts w:hint="eastAsia" w:ascii="楷体" w:hAnsi="楷体" w:eastAsia="楷体" w:cs="宋体"/>
                <w:sz w:val="24"/>
                <w:szCs w:val="24"/>
              </w:rPr>
              <w:t>》，规定了对文件的编制、审批、更新、更改、现行修订状态、文件的发放、保存、使用、借阅、复制以及外来文件的管理、记录的形成和收集、传递和归档、储存和处理、分类和编码、借阅等进行了规定，内容满足并覆盖标准所要求的内容，符合要求。</w:t>
            </w:r>
          </w:p>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组织策划的体系文件主要包括：《管理手册》，版本：A/0；《质量、环境、职业健康安全管理体系程序文件》版本：A/0，有管理制度、操作规程，以及相关运行记录等。以上文件编制人：行政部，审核人：</w:t>
            </w:r>
            <w:r>
              <w:rPr>
                <w:rFonts w:hint="eastAsia" w:ascii="楷体" w:hAnsi="楷体" w:eastAsia="楷体" w:cs="Arial"/>
                <w:sz w:val="24"/>
                <w:szCs w:val="24"/>
              </w:rPr>
              <w:t>邓晟</w:t>
            </w:r>
            <w:r>
              <w:rPr>
                <w:rFonts w:hint="eastAsia" w:ascii="楷体" w:hAnsi="楷体" w:eastAsia="楷体" w:cs="宋体"/>
                <w:sz w:val="24"/>
                <w:szCs w:val="24"/>
              </w:rPr>
              <w:t>，批准人：聂希，发布实施日期2019年10月10日。</w:t>
            </w:r>
          </w:p>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公司质量、环境、职业健康安全方针随手册一同发布，并编制目标、指标与管理方案一览表，方针目标发布经过总经理批准、评审，适宜。</w:t>
            </w:r>
          </w:p>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公司体系文件运行良好，能够满足经营需要。公司文件经过验证手册和程序文件基本符合ISO9001：2015、ISO14001:2015、ISO45001:2018标准要求。</w:t>
            </w:r>
          </w:p>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查文件发放情况：</w:t>
            </w:r>
          </w:p>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提供了《</w:t>
            </w:r>
            <w:r>
              <w:rPr>
                <w:rFonts w:ascii="楷体" w:hAnsi="楷体" w:eastAsia="楷体" w:cs="宋体"/>
                <w:sz w:val="24"/>
                <w:szCs w:val="24"/>
              </w:rPr>
              <w:t>文件发放、回收登记表</w:t>
            </w:r>
            <w:r>
              <w:rPr>
                <w:rFonts w:hint="eastAsia" w:ascii="楷体" w:hAnsi="楷体" w:eastAsia="楷体" w:cs="宋体"/>
                <w:sz w:val="24"/>
                <w:szCs w:val="24"/>
              </w:rPr>
              <w:t>》，所有文件均由行政部发放，录有管理手册、程序、作业文件及标准、法律法规等外来文件。</w:t>
            </w:r>
          </w:p>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查外来文件管理：</w:t>
            </w:r>
          </w:p>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公司对外来文件及法律法规进行了收集、识别、分发、控制。外来文件采用了统一保管、借阅使用的方法进行控制。由行政部负责通过到主管部门、网上收集、标准发布部门进行购买，并对外来文件的识别、跟踪、控制。查到：《外来文件清单》、《环境法律法规及其他要求清单》、《职业健康安全法律法规及其他要求清单》，有：《中华人民共和国环境保护法》、《中华人民共和国安全生产法》、《公共自行车停车棚》等法律法规和执行标准，外来文件管理符合要求。</w:t>
            </w:r>
          </w:p>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查作废文件控制：根据文审要求修订了管理手册，替换了修改页，原页面销毁。</w:t>
            </w:r>
          </w:p>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查看组织行政部文件管理情况，通过纸张、电子版形式文件化，文件名称、编号、内容等字迹清晰，标识易于识别、检索、可追溯，纸质文件存放在文件柜中，防水防潮，储存环境适宜。</w:t>
            </w:r>
          </w:p>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查到了“记录一览表”，记录设置符合公司实施运行要求，基本包含了体系要求的相关记录；《记录一览表》，内容清晰，规定了记录的名称、编号、保存期限等信息。 记录以名称、编号进行唯一性标识。</w:t>
            </w:r>
          </w:p>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查阅了记录：《合规性评价报告》、《应急演练记录》、《顾客满意度统计分析报告》、《环境、安全检查记录》等体系运行记录，记录比较完整，内容规范全面，字迹清楚，有填表人、检查人等信息，易于检索，符合要求。</w:t>
            </w:r>
          </w:p>
          <w:p>
            <w:pPr>
              <w:spacing w:line="360" w:lineRule="auto"/>
              <w:rPr>
                <w:rFonts w:ascii="楷体" w:hAnsi="楷体" w:eastAsia="楷体" w:cs="宋体"/>
                <w:sz w:val="24"/>
                <w:szCs w:val="24"/>
              </w:rPr>
            </w:pPr>
            <w:r>
              <w:rPr>
                <w:rFonts w:hint="eastAsia" w:ascii="楷体" w:hAnsi="楷体" w:eastAsia="楷体" w:cs="宋体"/>
                <w:sz w:val="24"/>
                <w:szCs w:val="24"/>
              </w:rPr>
              <w:t>　 察看记录存放处：各类记录分类存放，部门用记录由相关部门保管，置于文件夹或档案盒（袋）内，统一放置于文件资料柜中，干燥、通风、容易查询，记录保存方式和地点基本可以满足企业现有的体系运行需求。</w:t>
            </w:r>
          </w:p>
          <w:p>
            <w:pPr>
              <w:spacing w:line="360" w:lineRule="auto"/>
              <w:rPr>
                <w:rFonts w:ascii="楷体" w:hAnsi="楷体" w:eastAsia="楷体" w:cs="宋体"/>
                <w:sz w:val="24"/>
                <w:szCs w:val="24"/>
              </w:rPr>
            </w:pPr>
            <w:r>
              <w:rPr>
                <w:rFonts w:hint="eastAsia" w:ascii="楷体" w:hAnsi="楷体" w:eastAsia="楷体" w:cs="宋体"/>
                <w:sz w:val="24"/>
                <w:szCs w:val="24"/>
              </w:rPr>
              <w:t>　　经了解，目前作废文件已销毁，由行政部统一处理。</w:t>
            </w:r>
          </w:p>
          <w:p>
            <w:pPr>
              <w:tabs>
                <w:tab w:val="left" w:pos="6597"/>
              </w:tabs>
              <w:spacing w:line="360" w:lineRule="auto"/>
              <w:ind w:firstLine="480" w:firstLineChars="200"/>
              <w:rPr>
                <w:rFonts w:ascii="楷体" w:hAnsi="楷体" w:eastAsia="楷体"/>
                <w:sz w:val="24"/>
                <w:szCs w:val="24"/>
              </w:rPr>
            </w:pPr>
            <w:r>
              <w:rPr>
                <w:rFonts w:hint="eastAsia" w:ascii="楷体" w:hAnsi="楷体" w:eastAsia="楷体"/>
                <w:sz w:val="24"/>
                <w:szCs w:val="24"/>
              </w:rPr>
              <w:t>总体来说，公司文件化信息控制基本有效。</w:t>
            </w:r>
          </w:p>
        </w:tc>
        <w:tc>
          <w:tcPr>
            <w:tcW w:w="1585" w:type="dxa"/>
          </w:tcPr>
          <w:p>
            <w:pPr>
              <w:spacing w:line="360" w:lineRule="auto"/>
              <w:rPr>
                <w:rFonts w:ascii="楷体" w:hAnsi="楷体" w:eastAsia="楷体"/>
                <w:sz w:val="24"/>
                <w:szCs w:val="24"/>
                <w:highlight w:val="yellow"/>
              </w:rPr>
            </w:pPr>
            <w:r>
              <w:rPr>
                <w:rFonts w:ascii="楷体" w:hAnsi="楷体" w:eastAsia="楷体"/>
                <w:sz w:val="24"/>
                <w:szCs w:val="24"/>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6" w:hRule="atLeast"/>
        </w:trPr>
        <w:tc>
          <w:tcPr>
            <w:tcW w:w="1242" w:type="dxa"/>
            <w:vAlign w:val="center"/>
          </w:tcPr>
          <w:p>
            <w:pPr>
              <w:spacing w:line="360" w:lineRule="auto"/>
              <w:rPr>
                <w:rFonts w:ascii="楷体" w:hAnsi="楷体" w:eastAsia="楷体"/>
                <w:sz w:val="24"/>
                <w:szCs w:val="24"/>
              </w:rPr>
            </w:pPr>
            <w:r>
              <w:rPr>
                <w:rFonts w:hint="eastAsia" w:ascii="楷体" w:hAnsi="楷体" w:eastAsia="楷体" w:cs="Arial"/>
                <w:spacing w:val="-6"/>
                <w:sz w:val="24"/>
                <w:szCs w:val="24"/>
              </w:rPr>
              <w:t>监视、测量、分析和评价</w:t>
            </w:r>
          </w:p>
        </w:tc>
        <w:tc>
          <w:tcPr>
            <w:tcW w:w="1276" w:type="dxa"/>
          </w:tcPr>
          <w:p>
            <w:pPr>
              <w:spacing w:line="360" w:lineRule="auto"/>
              <w:rPr>
                <w:rFonts w:ascii="楷体" w:hAnsi="楷体" w:eastAsia="楷体" w:cs="Arial"/>
                <w:sz w:val="24"/>
                <w:szCs w:val="24"/>
              </w:rPr>
            </w:pPr>
            <w:r>
              <w:rPr>
                <w:rFonts w:hint="eastAsia" w:ascii="楷体" w:hAnsi="楷体" w:eastAsia="楷体" w:cs="Arial"/>
                <w:spacing w:val="-6"/>
                <w:sz w:val="24"/>
                <w:szCs w:val="24"/>
              </w:rPr>
              <w:t>Q9.1.1</w:t>
            </w:r>
            <w:r>
              <w:rPr>
                <w:rFonts w:hint="eastAsia" w:ascii="楷体" w:hAnsi="楷体" w:eastAsia="楷体" w:cs="Arial"/>
                <w:sz w:val="24"/>
                <w:szCs w:val="24"/>
              </w:rPr>
              <w:t>、Q9.1.3</w:t>
            </w:r>
          </w:p>
        </w:tc>
        <w:tc>
          <w:tcPr>
            <w:tcW w:w="10606" w:type="dxa"/>
          </w:tcPr>
          <w:p>
            <w:pPr>
              <w:autoSpaceDE w:val="0"/>
              <w:autoSpaceDN w:val="0"/>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公司规定了管理体系相关信息的收集、汇总、分析、处理、传递的要求。</w:t>
            </w:r>
          </w:p>
          <w:p>
            <w:pPr>
              <w:snapToGrid w:val="0"/>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公司组织各部门策划和实施必要的监视和测量活动，确保产品、体系和过程的符合性，以持续改进质量管理体系的有效性。</w:t>
            </w:r>
          </w:p>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公司的过程和体系的监视和测量主要是通过内审、管理评审、目标考核以及日常工作监督、产品检验、顾客满意度测量等的方式完成。</w:t>
            </w:r>
          </w:p>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行政部负责对体系、过程的日常监测和管理目标完成情况进行统计分析。对目标完成情况进行收集和统计分析，并制作目标完成情况统计表。</w:t>
            </w:r>
          </w:p>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生产部对产品实现各过程进行监督检查，按照要求进行了产品实现各阶段的检验。</w:t>
            </w:r>
          </w:p>
          <w:p>
            <w:pPr>
              <w:snapToGrid w:val="0"/>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采购部负责对供方业绩予以评价，对供方业绩实施了监视和测量。</w:t>
            </w:r>
          </w:p>
          <w:p>
            <w:pPr>
              <w:snapToGrid w:val="0"/>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销售部对顾客满意度进行了定期评价和分析。</w:t>
            </w:r>
          </w:p>
          <w:p>
            <w:pPr>
              <w:snapToGrid w:val="0"/>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财务部对各部门费用预算与实际投入等进行了定期评价和分析。</w:t>
            </w:r>
          </w:p>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公司已建立了监视和测量的渠道并实施，但利用深度须加强，已交流。</w:t>
            </w:r>
          </w:p>
          <w:p>
            <w:pPr>
              <w:spacing w:line="360" w:lineRule="auto"/>
              <w:ind w:firstLine="480" w:firstLineChars="200"/>
              <w:rPr>
                <w:rFonts w:ascii="楷体" w:hAnsi="楷体" w:eastAsia="楷体"/>
                <w:sz w:val="24"/>
                <w:szCs w:val="24"/>
              </w:rPr>
            </w:pPr>
            <w:r>
              <w:rPr>
                <w:rFonts w:hint="eastAsia" w:ascii="楷体" w:hAnsi="楷体" w:eastAsia="楷体" w:cs="宋体"/>
                <w:sz w:val="24"/>
                <w:szCs w:val="24"/>
              </w:rPr>
              <w:t>公司已对管理体系的监视、测量、分析和评价进行了策划，基本能够按照要求实施。</w:t>
            </w:r>
          </w:p>
        </w:tc>
        <w:tc>
          <w:tcPr>
            <w:tcW w:w="1585" w:type="dxa"/>
          </w:tcPr>
          <w:p>
            <w:pPr>
              <w:spacing w:line="360" w:lineRule="auto"/>
              <w:rPr>
                <w:rFonts w:ascii="楷体" w:hAnsi="楷体" w:eastAsia="楷体"/>
                <w:sz w:val="24"/>
                <w:szCs w:val="24"/>
                <w:highlight w:val="yellow"/>
              </w:rPr>
            </w:pPr>
            <w:r>
              <w:rPr>
                <w:rFonts w:ascii="楷体" w:hAnsi="楷体" w:eastAsia="楷体"/>
                <w:sz w:val="24"/>
                <w:szCs w:val="24"/>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1" w:hRule="atLeast"/>
        </w:trPr>
        <w:tc>
          <w:tcPr>
            <w:tcW w:w="1242" w:type="dxa"/>
            <w:vAlign w:val="center"/>
          </w:tcPr>
          <w:p>
            <w:pPr>
              <w:spacing w:line="360" w:lineRule="auto"/>
              <w:rPr>
                <w:rFonts w:ascii="楷体" w:hAnsi="楷体" w:eastAsia="楷体"/>
                <w:b/>
                <w:sz w:val="24"/>
                <w:szCs w:val="24"/>
              </w:rPr>
            </w:pPr>
            <w:r>
              <w:rPr>
                <w:rFonts w:hint="eastAsia" w:ascii="楷体" w:hAnsi="楷体" w:eastAsia="楷体" w:cs="Arial"/>
                <w:sz w:val="24"/>
                <w:szCs w:val="24"/>
              </w:rPr>
              <w:t>环境因素/</w:t>
            </w:r>
            <w:r>
              <w:rPr>
                <w:rFonts w:hint="eastAsia" w:ascii="楷体" w:hAnsi="楷体" w:eastAsia="楷体" w:cs="楷体"/>
                <w:sz w:val="24"/>
                <w:szCs w:val="24"/>
              </w:rPr>
              <w:t>危险源</w:t>
            </w:r>
          </w:p>
        </w:tc>
        <w:tc>
          <w:tcPr>
            <w:tcW w:w="1276" w:type="dxa"/>
          </w:tcPr>
          <w:p>
            <w:pPr>
              <w:spacing w:line="360" w:lineRule="auto"/>
              <w:rPr>
                <w:rFonts w:ascii="楷体" w:hAnsi="楷体" w:eastAsia="楷体" w:cs="楷体"/>
                <w:bCs/>
                <w:sz w:val="24"/>
                <w:szCs w:val="24"/>
              </w:rPr>
            </w:pPr>
            <w:r>
              <w:rPr>
                <w:rFonts w:hint="eastAsia" w:ascii="楷体" w:hAnsi="楷体" w:eastAsia="楷体" w:cs="楷体"/>
                <w:bCs/>
                <w:sz w:val="24"/>
                <w:szCs w:val="24"/>
              </w:rPr>
              <w:t>E6.1.2</w:t>
            </w:r>
          </w:p>
          <w:p>
            <w:pPr>
              <w:spacing w:line="360" w:lineRule="auto"/>
              <w:rPr>
                <w:rFonts w:ascii="楷体" w:hAnsi="楷体" w:eastAsia="楷体" w:cs="楷体"/>
                <w:sz w:val="24"/>
                <w:szCs w:val="24"/>
              </w:rPr>
            </w:pPr>
          </w:p>
          <w:p>
            <w:pPr>
              <w:spacing w:line="360" w:lineRule="auto"/>
              <w:rPr>
                <w:rFonts w:ascii="楷体" w:hAnsi="楷体" w:eastAsia="楷体" w:cs="楷体"/>
                <w:sz w:val="24"/>
                <w:szCs w:val="24"/>
              </w:rPr>
            </w:pPr>
          </w:p>
        </w:tc>
        <w:tc>
          <w:tcPr>
            <w:tcW w:w="10606" w:type="dxa"/>
          </w:tcPr>
          <w:p>
            <w:pPr>
              <w:snapToGrid w:val="0"/>
              <w:spacing w:line="360" w:lineRule="auto"/>
              <w:ind w:firstLine="480" w:firstLineChars="200"/>
              <w:rPr>
                <w:rFonts w:ascii="楷体" w:hAnsi="楷体" w:eastAsia="楷体" w:cs="楷体"/>
                <w:bCs/>
                <w:sz w:val="24"/>
                <w:szCs w:val="24"/>
              </w:rPr>
            </w:pPr>
            <w:r>
              <w:rPr>
                <w:rFonts w:hint="eastAsia" w:ascii="楷体" w:hAnsi="楷体" w:eastAsia="楷体"/>
                <w:sz w:val="24"/>
                <w:szCs w:val="24"/>
              </w:rPr>
              <w:t>提供</w:t>
            </w:r>
            <w:r>
              <w:rPr>
                <w:rFonts w:hint="eastAsia" w:ascii="楷体" w:hAnsi="楷体" w:eastAsia="楷体" w:cs="宋体"/>
                <w:sz w:val="24"/>
                <w:szCs w:val="24"/>
              </w:rPr>
              <w:t>了</w:t>
            </w:r>
            <w:r>
              <w:rPr>
                <w:rFonts w:hint="eastAsia" w:ascii="楷体" w:hAnsi="楷体" w:eastAsia="楷体" w:cs="楷体"/>
                <w:sz w:val="24"/>
                <w:szCs w:val="24"/>
              </w:rPr>
              <w:t>环境因素和危险源识别评价与</w:t>
            </w:r>
            <w:r>
              <w:rPr>
                <w:rFonts w:hint="eastAsia" w:ascii="楷体" w:hAnsi="楷体" w:eastAsia="楷体" w:cs="楷体"/>
                <w:bCs/>
                <w:sz w:val="24"/>
                <w:szCs w:val="24"/>
              </w:rPr>
              <w:t>控制程序（</w:t>
            </w:r>
            <w:r>
              <w:rPr>
                <w:rFonts w:ascii="楷体" w:hAnsi="楷体" w:eastAsia="楷体" w:cs="楷体"/>
                <w:bCs/>
                <w:sz w:val="24"/>
                <w:szCs w:val="24"/>
              </w:rPr>
              <w:t>QJKJ-CX01-2019</w:t>
            </w:r>
            <w:r>
              <w:rPr>
                <w:rFonts w:hint="eastAsia" w:ascii="楷体" w:hAnsi="楷体" w:eastAsia="楷体" w:cs="楷体"/>
                <w:bCs/>
                <w:sz w:val="24"/>
                <w:szCs w:val="24"/>
              </w:rPr>
              <w:t>），对环境因素、危险源的识别、评价结果、控制手段等做出了规定。</w:t>
            </w:r>
          </w:p>
          <w:p>
            <w:pPr>
              <w:spacing w:line="360" w:lineRule="auto"/>
              <w:ind w:firstLine="480" w:firstLineChars="200"/>
              <w:rPr>
                <w:rFonts w:ascii="楷体" w:hAnsi="楷体" w:eastAsia="楷体" w:cs="楷体"/>
                <w:bCs/>
                <w:sz w:val="24"/>
                <w:szCs w:val="24"/>
              </w:rPr>
            </w:pPr>
            <w:r>
              <w:rPr>
                <w:rFonts w:hint="eastAsia" w:ascii="楷体" w:hAnsi="楷体" w:eastAsia="楷体" w:cs="楷体"/>
                <w:bCs/>
                <w:sz w:val="24"/>
                <w:szCs w:val="24"/>
              </w:rPr>
              <w:t>行政部作为环境和职业健康安全管理体系的推进部门，主要统筹负责识别评价相关的环境因素及危险源。根据办公区、生产过程、采购过程、销售过程等环节识别，由行政部汇总。</w:t>
            </w:r>
          </w:p>
          <w:p>
            <w:pPr>
              <w:spacing w:line="360" w:lineRule="auto"/>
              <w:ind w:firstLine="480" w:firstLineChars="200"/>
              <w:rPr>
                <w:rFonts w:ascii="楷体" w:hAnsi="楷体" w:eastAsia="楷体" w:cs="楷体"/>
                <w:bCs/>
                <w:sz w:val="24"/>
                <w:szCs w:val="24"/>
              </w:rPr>
            </w:pPr>
            <w:r>
              <w:rPr>
                <w:rFonts w:hint="eastAsia" w:ascii="楷体" w:hAnsi="楷体" w:eastAsia="楷体" w:cs="楷体"/>
                <w:bCs/>
                <w:sz w:val="24"/>
                <w:szCs w:val="24"/>
              </w:rPr>
              <w:t>查“环境因素辨识和评价登记表”，识别考虑了正常、异常、紧急，过去、现在、未来三种时态。涉及行政部的环境因素有生活垃圾的处置不当污染环境、办公场所吸烟污染环境、复印机打印机废墨盒处置污染环境、火灾发生后废弃物污染大气、水土等。</w:t>
            </w:r>
          </w:p>
          <w:p>
            <w:pPr>
              <w:spacing w:line="360" w:lineRule="auto"/>
              <w:ind w:firstLine="480" w:firstLineChars="200"/>
              <w:rPr>
                <w:rFonts w:ascii="楷体" w:hAnsi="楷体" w:eastAsia="楷体" w:cs="楷体"/>
                <w:bCs/>
                <w:sz w:val="24"/>
                <w:szCs w:val="24"/>
              </w:rPr>
            </w:pPr>
            <w:r>
              <w:rPr>
                <w:rFonts w:hint="eastAsia" w:ascii="楷体" w:hAnsi="楷体" w:eastAsia="楷体" w:cs="楷体"/>
                <w:bCs/>
                <w:sz w:val="24"/>
                <w:szCs w:val="24"/>
              </w:rPr>
              <w:t>采取多因子评价法进行了评价，查到“重要环境因素清单”，评价出噪音排放、潜在火灾、固废排放、粉尘/废气排放为重要环境因素。</w:t>
            </w:r>
          </w:p>
          <w:p>
            <w:pPr>
              <w:spacing w:line="360" w:lineRule="auto"/>
              <w:ind w:firstLine="480" w:firstLineChars="200"/>
              <w:rPr>
                <w:rFonts w:ascii="楷体" w:hAnsi="楷体" w:eastAsia="楷体" w:cs="楷体"/>
                <w:bCs/>
                <w:sz w:val="24"/>
                <w:szCs w:val="24"/>
              </w:rPr>
            </w:pPr>
            <w:r>
              <w:rPr>
                <w:rFonts w:hint="eastAsia" w:ascii="楷体" w:hAnsi="楷体" w:eastAsia="楷体" w:cs="楷体"/>
                <w:bCs/>
                <w:sz w:val="24"/>
                <w:szCs w:val="24"/>
              </w:rPr>
              <w:t>经评价行政部的重要环境因素为：日常办公过程中固废排放、潜在火灾的发生。</w:t>
            </w:r>
          </w:p>
          <w:p>
            <w:pPr>
              <w:spacing w:line="360" w:lineRule="auto"/>
              <w:ind w:firstLine="480" w:firstLineChars="200"/>
              <w:rPr>
                <w:rFonts w:ascii="楷体" w:hAnsi="楷体" w:eastAsia="楷体" w:cs="楷体"/>
                <w:bCs/>
                <w:sz w:val="24"/>
                <w:szCs w:val="24"/>
              </w:rPr>
            </w:pPr>
            <w:r>
              <w:rPr>
                <w:rFonts w:hint="eastAsia" w:ascii="楷体" w:hAnsi="楷体" w:eastAsia="楷体" w:cs="楷体"/>
                <w:bCs/>
                <w:sz w:val="24"/>
                <w:szCs w:val="24"/>
              </w:rPr>
              <w:t>主要控制措施：办公危废交耗材供应公司，生活垃圾由物业部门拉走，加强日常培训，日常检查，配备消防器材等措施。</w:t>
            </w:r>
          </w:p>
          <w:p>
            <w:pPr>
              <w:spacing w:line="360" w:lineRule="auto"/>
              <w:ind w:firstLine="480" w:firstLineChars="200"/>
              <w:rPr>
                <w:rFonts w:ascii="楷体" w:hAnsi="楷体" w:eastAsia="楷体" w:cs="楷体"/>
                <w:sz w:val="24"/>
                <w:szCs w:val="24"/>
              </w:rPr>
            </w:pPr>
            <w:r>
              <w:rPr>
                <w:rFonts w:hint="eastAsia" w:ascii="楷体" w:hAnsi="楷体" w:eastAsia="楷体" w:cs="楷体"/>
                <w:bCs/>
                <w:sz w:val="24"/>
                <w:szCs w:val="24"/>
              </w:rPr>
              <w:t>具体控制措施见E8.1审核记录。</w:t>
            </w:r>
          </w:p>
        </w:tc>
        <w:tc>
          <w:tcPr>
            <w:tcW w:w="1585" w:type="dxa"/>
          </w:tcPr>
          <w:p>
            <w:pPr>
              <w:spacing w:line="360" w:lineRule="auto"/>
              <w:rPr>
                <w:rFonts w:ascii="楷体" w:hAnsi="楷体" w:eastAsia="楷体"/>
                <w:sz w:val="24"/>
                <w:szCs w:val="24"/>
                <w:highlight w:val="yellow"/>
              </w:rPr>
            </w:pPr>
            <w:r>
              <w:rPr>
                <w:rFonts w:ascii="楷体" w:hAnsi="楷体" w:eastAsia="楷体"/>
                <w:sz w:val="24"/>
                <w:szCs w:val="24"/>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9" w:hRule="atLeast"/>
        </w:trPr>
        <w:tc>
          <w:tcPr>
            <w:tcW w:w="1242" w:type="dxa"/>
          </w:tcPr>
          <w:p>
            <w:pPr>
              <w:spacing w:line="360" w:lineRule="auto"/>
              <w:rPr>
                <w:rFonts w:ascii="楷体" w:hAnsi="楷体" w:eastAsia="楷体" w:cs="宋体"/>
                <w:sz w:val="24"/>
                <w:szCs w:val="24"/>
              </w:rPr>
            </w:pPr>
            <w:r>
              <w:rPr>
                <w:rFonts w:hint="eastAsia" w:ascii="楷体" w:hAnsi="楷体" w:eastAsia="楷体" w:cs="Arial"/>
                <w:sz w:val="24"/>
                <w:szCs w:val="24"/>
              </w:rPr>
              <w:t>合规义务、</w:t>
            </w:r>
            <w:r>
              <w:rPr>
                <w:rFonts w:hint="eastAsia" w:ascii="楷体" w:hAnsi="楷体" w:eastAsia="楷体" w:cs="宋体"/>
                <w:sz w:val="24"/>
                <w:szCs w:val="24"/>
              </w:rPr>
              <w:t>法律法规和其他要求</w:t>
            </w:r>
          </w:p>
        </w:tc>
        <w:tc>
          <w:tcPr>
            <w:tcW w:w="1276" w:type="dxa"/>
            <w:vAlign w:val="center"/>
          </w:tcPr>
          <w:p>
            <w:pPr>
              <w:spacing w:line="360" w:lineRule="auto"/>
              <w:rPr>
                <w:rFonts w:ascii="楷体" w:hAnsi="楷体" w:eastAsia="楷体" w:cs="宋体"/>
                <w:sz w:val="24"/>
                <w:szCs w:val="24"/>
              </w:rPr>
            </w:pPr>
            <w:r>
              <w:rPr>
                <w:rFonts w:hint="eastAsia" w:ascii="楷体" w:hAnsi="楷体" w:eastAsia="楷体" w:cs="宋体"/>
                <w:sz w:val="24"/>
                <w:szCs w:val="24"/>
              </w:rPr>
              <w:t>E6.1.3</w:t>
            </w:r>
          </w:p>
          <w:p>
            <w:pPr>
              <w:spacing w:line="360" w:lineRule="auto"/>
              <w:rPr>
                <w:rFonts w:ascii="楷体" w:hAnsi="楷体" w:eastAsia="楷体"/>
                <w:sz w:val="24"/>
                <w:szCs w:val="24"/>
              </w:rPr>
            </w:pPr>
          </w:p>
        </w:tc>
        <w:tc>
          <w:tcPr>
            <w:tcW w:w="10606" w:type="dxa"/>
            <w:vAlign w:val="center"/>
          </w:tcPr>
          <w:p>
            <w:pPr>
              <w:snapToGrid w:val="0"/>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编制了《环境和职业健康安全法律法规控制程序</w:t>
            </w:r>
            <w:r>
              <w:rPr>
                <w:rFonts w:ascii="楷体" w:hAnsi="楷体" w:eastAsia="楷体" w:cs="宋体"/>
                <w:sz w:val="24"/>
                <w:szCs w:val="24"/>
              </w:rPr>
              <w:t>QJKJ-CX02-2019</w:t>
            </w:r>
            <w:r>
              <w:rPr>
                <w:rFonts w:hint="eastAsia" w:ascii="楷体" w:hAnsi="楷体" w:eastAsia="楷体" w:cs="宋体"/>
                <w:sz w:val="24"/>
                <w:szCs w:val="24"/>
              </w:rPr>
              <w:t>》，对法律法规的识别更新和应用进行规定，行政部为主控部门。</w:t>
            </w:r>
          </w:p>
          <w:p>
            <w:pPr>
              <w:snapToGrid w:val="0"/>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部门人员介绍：主要通过网络、报纸杂志电视等新闻媒体、购买、上级下发等多种形式收集本公司适用的法律法规。提供了《环境法律法规及其他要求清单》、《职业健康安全法律法规及其他要求清单》，识别了企业相关环境和职业健康安全法律法规、标准和其他要求。如《中华人民共和国环境保护法》、《中华人民共和国安全生产法》、《中华人民共和国环境噪声污染防治法》、《中华人民共和国职业病防治法》、《中华人民共和国消防法》、《江西省环境污染防治条例》、《江西省安全生产条例》、《工伤保险条例》《中华人民共和国劳动合同法》《中华人民共和国突发事件应对法》《江西省生产安全事故报告和调查处理规定》《突发环境事件信息报告办法》等。</w:t>
            </w:r>
          </w:p>
          <w:p>
            <w:pPr>
              <w:snapToGrid w:val="0"/>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已识别法律法规及其它要求的适用条款，并与环境因素、危险源相对应。</w:t>
            </w:r>
          </w:p>
          <w:p>
            <w:pPr>
              <w:snapToGrid w:val="0"/>
              <w:spacing w:line="360" w:lineRule="auto"/>
              <w:ind w:firstLine="480" w:firstLineChars="200"/>
              <w:rPr>
                <w:rFonts w:ascii="楷体" w:hAnsi="楷体" w:eastAsia="楷体"/>
                <w:sz w:val="24"/>
                <w:szCs w:val="24"/>
                <w:highlight w:val="yellow"/>
              </w:rPr>
            </w:pPr>
            <w:r>
              <w:rPr>
                <w:rFonts w:hint="eastAsia" w:ascii="楷体" w:hAnsi="楷体" w:eastAsia="楷体" w:cs="楷体"/>
                <w:sz w:val="24"/>
                <w:szCs w:val="24"/>
              </w:rPr>
              <w:t>公司法律、法规及其它要求都有现行文本，大部分为电子版本</w:t>
            </w:r>
            <w:r>
              <w:rPr>
                <w:rFonts w:hint="eastAsia" w:ascii="楷体" w:hAnsi="楷体" w:eastAsia="楷体" w:cs="宋体"/>
                <w:sz w:val="24"/>
                <w:szCs w:val="24"/>
              </w:rPr>
              <w:t>。各部门如有需要到行政部查阅。公司通过培训、会议等方式向有关员工传达法律、法规及其它要求的相关要求。</w:t>
            </w:r>
          </w:p>
        </w:tc>
        <w:tc>
          <w:tcPr>
            <w:tcW w:w="1585" w:type="dxa"/>
          </w:tcPr>
          <w:p>
            <w:pPr>
              <w:spacing w:line="360" w:lineRule="auto"/>
              <w:rPr>
                <w:rFonts w:ascii="楷体" w:hAnsi="楷体" w:eastAsia="楷体"/>
                <w:sz w:val="24"/>
                <w:szCs w:val="24"/>
                <w:highlight w:val="yellow"/>
              </w:rPr>
            </w:pPr>
            <w:r>
              <w:rPr>
                <w:rFonts w:ascii="楷体" w:hAnsi="楷体" w:eastAsia="楷体"/>
                <w:sz w:val="24"/>
                <w:szCs w:val="24"/>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6" w:hRule="atLeast"/>
        </w:trPr>
        <w:tc>
          <w:tcPr>
            <w:tcW w:w="1242" w:type="dxa"/>
            <w:vAlign w:val="center"/>
          </w:tcPr>
          <w:p>
            <w:pPr>
              <w:spacing w:line="360" w:lineRule="auto"/>
              <w:rPr>
                <w:rFonts w:ascii="楷体" w:hAnsi="楷体" w:eastAsia="楷体"/>
                <w:sz w:val="24"/>
                <w:szCs w:val="24"/>
              </w:rPr>
            </w:pPr>
            <w:r>
              <w:rPr>
                <w:rFonts w:hint="eastAsia" w:ascii="楷体" w:hAnsi="楷体" w:eastAsia="楷体"/>
                <w:sz w:val="24"/>
                <w:szCs w:val="24"/>
              </w:rPr>
              <w:t>措施的策划</w:t>
            </w:r>
          </w:p>
        </w:tc>
        <w:tc>
          <w:tcPr>
            <w:tcW w:w="1276" w:type="dxa"/>
            <w:vAlign w:val="center"/>
          </w:tcPr>
          <w:p>
            <w:pPr>
              <w:spacing w:line="360" w:lineRule="auto"/>
              <w:rPr>
                <w:rFonts w:ascii="楷体" w:hAnsi="楷体" w:eastAsia="楷体"/>
                <w:sz w:val="24"/>
                <w:szCs w:val="24"/>
              </w:rPr>
            </w:pPr>
            <w:r>
              <w:rPr>
                <w:rFonts w:ascii="楷体" w:hAnsi="楷体" w:eastAsia="楷体"/>
                <w:sz w:val="24"/>
                <w:szCs w:val="24"/>
              </w:rPr>
              <w:t>E</w:t>
            </w:r>
            <w:r>
              <w:rPr>
                <w:rFonts w:hint="eastAsia" w:ascii="楷体" w:hAnsi="楷体" w:eastAsia="楷体"/>
                <w:sz w:val="24"/>
                <w:szCs w:val="24"/>
              </w:rPr>
              <w:t>6.1.4</w:t>
            </w:r>
          </w:p>
          <w:p>
            <w:pPr>
              <w:spacing w:line="360" w:lineRule="auto"/>
              <w:rPr>
                <w:rFonts w:ascii="楷体" w:hAnsi="楷体" w:eastAsia="楷体"/>
                <w:sz w:val="24"/>
                <w:szCs w:val="24"/>
              </w:rPr>
            </w:pPr>
          </w:p>
        </w:tc>
        <w:tc>
          <w:tcPr>
            <w:tcW w:w="10606" w:type="dxa"/>
            <w:vAlign w:val="center"/>
          </w:tcPr>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公司根据环境因素和危险源的风险辨识结果，分别制定出《重要环境因素清单》、《重大危险源清单》，清单内明确了控制措施计划，通过具体的措施进行有效控制：目标、管理方案、管理制度运行控制、应急预案、日常检查、日常培训。</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每年对公司适用的合规义务进行识别更新并定期评价、检查。</w:t>
            </w:r>
          </w:p>
          <w:p>
            <w:pPr>
              <w:spacing w:line="360" w:lineRule="auto"/>
              <w:ind w:firstLine="480" w:firstLineChars="200"/>
              <w:rPr>
                <w:rFonts w:ascii="楷体" w:hAnsi="楷体" w:eastAsia="楷体"/>
                <w:sz w:val="24"/>
                <w:szCs w:val="24"/>
              </w:rPr>
            </w:pPr>
            <w:r>
              <w:rPr>
                <w:rFonts w:hint="eastAsia" w:ascii="楷体" w:hAnsi="楷体" w:eastAsia="楷体" w:cs="楷体"/>
                <w:sz w:val="24"/>
                <w:szCs w:val="24"/>
              </w:rPr>
              <w:t>经组织评价，组织策划的措施基本能够满足风险和机遇应对需要，能够与识别的风险和机遇对产品符合性的潜在影响相适应，基本满足标准要求</w:t>
            </w:r>
            <w:r>
              <w:rPr>
                <w:rFonts w:hint="eastAsia" w:ascii="楷体" w:hAnsi="楷体" w:eastAsia="楷体"/>
                <w:sz w:val="24"/>
                <w:szCs w:val="24"/>
              </w:rPr>
              <w:t>。</w:t>
            </w:r>
          </w:p>
        </w:tc>
        <w:tc>
          <w:tcPr>
            <w:tcW w:w="1585" w:type="dxa"/>
          </w:tcPr>
          <w:p>
            <w:pPr>
              <w:spacing w:line="360" w:lineRule="auto"/>
              <w:rPr>
                <w:rFonts w:ascii="楷体" w:hAnsi="楷体" w:eastAsia="楷体"/>
                <w:sz w:val="24"/>
                <w:szCs w:val="24"/>
                <w:highlight w:val="yellow"/>
              </w:rPr>
            </w:pPr>
            <w:r>
              <w:rPr>
                <w:rFonts w:ascii="楷体" w:hAnsi="楷体" w:eastAsia="楷体"/>
                <w:sz w:val="24"/>
                <w:szCs w:val="24"/>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1" w:hRule="atLeast"/>
        </w:trPr>
        <w:tc>
          <w:tcPr>
            <w:tcW w:w="1242" w:type="dxa"/>
            <w:vAlign w:val="center"/>
          </w:tcPr>
          <w:p>
            <w:pPr>
              <w:spacing w:line="360" w:lineRule="auto"/>
              <w:rPr>
                <w:rFonts w:ascii="楷体" w:hAnsi="楷体" w:eastAsia="楷体"/>
                <w:sz w:val="24"/>
                <w:szCs w:val="24"/>
              </w:rPr>
            </w:pPr>
            <w:r>
              <w:rPr>
                <w:rFonts w:hint="eastAsia" w:ascii="楷体" w:hAnsi="楷体" w:eastAsia="楷体" w:cs="Arial"/>
                <w:sz w:val="24"/>
                <w:szCs w:val="24"/>
              </w:rPr>
              <w:t>合规性评价</w:t>
            </w:r>
          </w:p>
        </w:tc>
        <w:tc>
          <w:tcPr>
            <w:tcW w:w="1276" w:type="dxa"/>
            <w:vAlign w:val="center"/>
          </w:tcPr>
          <w:p>
            <w:pPr>
              <w:spacing w:line="360" w:lineRule="auto"/>
              <w:rPr>
                <w:rFonts w:ascii="楷体" w:hAnsi="楷体" w:eastAsia="楷体" w:cs="Arial"/>
                <w:sz w:val="24"/>
                <w:szCs w:val="24"/>
              </w:rPr>
            </w:pPr>
            <w:r>
              <w:rPr>
                <w:rFonts w:hint="eastAsia" w:ascii="楷体" w:hAnsi="楷体" w:eastAsia="楷体" w:cs="Arial"/>
                <w:sz w:val="24"/>
                <w:szCs w:val="24"/>
              </w:rPr>
              <w:t>E9.1.2</w:t>
            </w:r>
          </w:p>
          <w:p>
            <w:pPr>
              <w:spacing w:line="360" w:lineRule="auto"/>
              <w:rPr>
                <w:rFonts w:ascii="楷体" w:hAnsi="楷体" w:eastAsia="楷体" w:cs="楷体"/>
                <w:bCs/>
                <w:sz w:val="24"/>
                <w:szCs w:val="24"/>
              </w:rPr>
            </w:pPr>
          </w:p>
        </w:tc>
        <w:tc>
          <w:tcPr>
            <w:tcW w:w="10606" w:type="dxa"/>
            <w:vAlign w:val="center"/>
          </w:tcPr>
          <w:p>
            <w:pPr>
              <w:snapToGrid w:val="0"/>
              <w:spacing w:line="360" w:lineRule="auto"/>
              <w:ind w:right="392" w:firstLine="480" w:firstLineChars="200"/>
              <w:rPr>
                <w:rFonts w:ascii="楷体" w:hAnsi="楷体" w:eastAsia="楷体" w:cs="宋体"/>
                <w:sz w:val="24"/>
                <w:szCs w:val="24"/>
              </w:rPr>
            </w:pPr>
            <w:r>
              <w:rPr>
                <w:rFonts w:hint="eastAsia" w:ascii="楷体" w:hAnsi="楷体" w:eastAsia="楷体" w:cs="宋体"/>
                <w:sz w:val="24"/>
                <w:szCs w:val="24"/>
              </w:rPr>
              <w:t>编制了《合规性评价控制程序</w:t>
            </w:r>
            <w:r>
              <w:rPr>
                <w:rFonts w:ascii="楷体" w:hAnsi="楷体" w:eastAsia="楷体" w:cs="宋体"/>
                <w:sz w:val="24"/>
                <w:szCs w:val="24"/>
              </w:rPr>
              <w:t>QJKJ-CX21-2019</w:t>
            </w:r>
            <w:r>
              <w:rPr>
                <w:rFonts w:hint="eastAsia" w:ascii="楷体" w:hAnsi="楷体" w:eastAsia="楷体" w:cs="宋体"/>
                <w:sz w:val="24"/>
                <w:szCs w:val="24"/>
              </w:rPr>
              <w:t>》，其中规定了对本公司法规及其他要求的合规性评价的要求。</w:t>
            </w:r>
          </w:p>
          <w:p>
            <w:pPr>
              <w:snapToGrid w:val="0"/>
              <w:spacing w:line="360" w:lineRule="auto"/>
              <w:ind w:right="392" w:firstLine="480" w:firstLineChars="200"/>
              <w:rPr>
                <w:rFonts w:ascii="楷体" w:hAnsi="楷体" w:eastAsia="楷体" w:cs="宋体"/>
                <w:sz w:val="24"/>
                <w:szCs w:val="24"/>
              </w:rPr>
            </w:pPr>
            <w:r>
              <w:rPr>
                <w:rFonts w:hint="eastAsia" w:ascii="楷体" w:hAnsi="楷体" w:eastAsia="楷体" w:cs="宋体"/>
                <w:sz w:val="24"/>
                <w:szCs w:val="24"/>
              </w:rPr>
              <w:t>提供了《合规性评价报告》、《合规性评价综述》,对公司适用的法律法规及其他要求的遵守情况进行了评价，评价结论：从本次检查的结果来看，我公司没有违反国家法律、法规及相关标准，能严格遵守国家有关环境和职业健康安全管理方面的相关规定，密切关注法律法规的变化，并适时调整，严格按体系标准执行。</w:t>
            </w:r>
          </w:p>
          <w:p>
            <w:pPr>
              <w:snapToGrid w:val="0"/>
              <w:spacing w:line="360" w:lineRule="auto"/>
              <w:ind w:right="392" w:firstLine="480" w:firstLineChars="200"/>
              <w:rPr>
                <w:rFonts w:ascii="楷体" w:hAnsi="楷体" w:eastAsia="楷体" w:cs="宋体"/>
                <w:sz w:val="24"/>
                <w:szCs w:val="24"/>
              </w:rPr>
            </w:pPr>
            <w:r>
              <w:rPr>
                <w:rFonts w:hint="eastAsia" w:ascii="楷体" w:hAnsi="楷体" w:eastAsia="楷体" w:cs="宋体"/>
                <w:sz w:val="24"/>
                <w:szCs w:val="24"/>
              </w:rPr>
              <w:t>评价人：邓晟、聂希、徐爱如、曾科进、黄涛、孙会锋，</w:t>
            </w:r>
          </w:p>
          <w:p>
            <w:pPr>
              <w:snapToGrid w:val="0"/>
              <w:spacing w:line="360" w:lineRule="auto"/>
              <w:ind w:right="392" w:firstLine="480" w:firstLineChars="200"/>
              <w:rPr>
                <w:rFonts w:ascii="楷体" w:hAnsi="楷体" w:eastAsia="楷体" w:cs="宋体"/>
                <w:sz w:val="24"/>
                <w:szCs w:val="24"/>
              </w:rPr>
            </w:pPr>
            <w:r>
              <w:rPr>
                <w:rFonts w:hint="eastAsia" w:ascii="楷体" w:hAnsi="楷体" w:eastAsia="楷体" w:cs="宋体"/>
                <w:sz w:val="24"/>
                <w:szCs w:val="24"/>
              </w:rPr>
              <w:t>评价日期：2020年1月17日。</w:t>
            </w:r>
          </w:p>
          <w:p>
            <w:pPr>
              <w:spacing w:line="360" w:lineRule="auto"/>
              <w:ind w:firstLine="480" w:firstLineChars="200"/>
              <w:rPr>
                <w:rFonts w:ascii="楷体" w:hAnsi="楷体" w:eastAsia="楷体" w:cs="楷体"/>
                <w:sz w:val="24"/>
                <w:szCs w:val="24"/>
              </w:rPr>
            </w:pPr>
            <w:r>
              <w:rPr>
                <w:rFonts w:hint="eastAsia" w:ascii="楷体" w:hAnsi="楷体" w:eastAsia="楷体" w:cs="宋体"/>
                <w:sz w:val="24"/>
                <w:szCs w:val="24"/>
              </w:rPr>
              <w:t>部门已对有关法规及其他要求进行识别、评价，满足要求。</w:t>
            </w:r>
          </w:p>
        </w:tc>
        <w:tc>
          <w:tcPr>
            <w:tcW w:w="1585" w:type="dxa"/>
          </w:tcPr>
          <w:p>
            <w:pPr>
              <w:spacing w:line="360" w:lineRule="auto"/>
              <w:rPr>
                <w:rFonts w:ascii="楷体" w:hAnsi="楷体" w:eastAsia="楷体"/>
                <w:sz w:val="24"/>
                <w:szCs w:val="24"/>
                <w:highlight w:val="yellow"/>
              </w:rPr>
            </w:pPr>
            <w:r>
              <w:rPr>
                <w:rFonts w:ascii="楷体" w:hAnsi="楷体" w:eastAsia="楷体"/>
                <w:sz w:val="24"/>
                <w:szCs w:val="24"/>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242" w:type="dxa"/>
            <w:vAlign w:val="center"/>
          </w:tcPr>
          <w:p>
            <w:pPr>
              <w:spacing w:line="360" w:lineRule="auto"/>
              <w:rPr>
                <w:rFonts w:ascii="楷体" w:hAnsi="楷体" w:eastAsia="楷体"/>
                <w:sz w:val="24"/>
                <w:szCs w:val="24"/>
              </w:rPr>
            </w:pPr>
            <w:r>
              <w:rPr>
                <w:rFonts w:hint="eastAsia" w:ascii="楷体" w:hAnsi="楷体" w:eastAsia="楷体" w:cs="楷体"/>
                <w:sz w:val="24"/>
                <w:szCs w:val="24"/>
              </w:rPr>
              <w:t>监视、测量、分析和评价</w:t>
            </w:r>
          </w:p>
        </w:tc>
        <w:tc>
          <w:tcPr>
            <w:tcW w:w="1276" w:type="dxa"/>
            <w:vAlign w:val="center"/>
          </w:tcPr>
          <w:p>
            <w:pPr>
              <w:tabs>
                <w:tab w:val="left" w:pos="6597"/>
              </w:tabs>
              <w:spacing w:line="360" w:lineRule="auto"/>
              <w:rPr>
                <w:rFonts w:ascii="楷体" w:hAnsi="楷体" w:eastAsia="楷体" w:cs="楷体"/>
                <w:sz w:val="24"/>
                <w:szCs w:val="24"/>
              </w:rPr>
            </w:pPr>
            <w:r>
              <w:rPr>
                <w:rFonts w:hint="eastAsia" w:ascii="楷体" w:hAnsi="楷体" w:eastAsia="楷体" w:cs="楷体"/>
                <w:sz w:val="24"/>
                <w:szCs w:val="24"/>
              </w:rPr>
              <w:t>E9.1.1</w:t>
            </w:r>
          </w:p>
          <w:p>
            <w:pPr>
              <w:tabs>
                <w:tab w:val="left" w:pos="6597"/>
              </w:tabs>
              <w:spacing w:line="360" w:lineRule="auto"/>
              <w:rPr>
                <w:rFonts w:ascii="楷体" w:hAnsi="楷体" w:eastAsia="楷体" w:cs="楷体"/>
                <w:sz w:val="24"/>
                <w:szCs w:val="24"/>
              </w:rPr>
            </w:pPr>
          </w:p>
        </w:tc>
        <w:tc>
          <w:tcPr>
            <w:tcW w:w="10606" w:type="dxa"/>
            <w:vAlign w:val="center"/>
          </w:tcPr>
          <w:p>
            <w:pPr>
              <w:spacing w:line="360" w:lineRule="auto"/>
              <w:ind w:firstLine="480" w:firstLineChars="200"/>
              <w:jc w:val="left"/>
              <w:rPr>
                <w:rFonts w:ascii="楷体" w:hAnsi="楷体" w:eastAsia="楷体" w:cs="宋体"/>
                <w:sz w:val="24"/>
                <w:szCs w:val="24"/>
              </w:rPr>
            </w:pPr>
            <w:r>
              <w:rPr>
                <w:rFonts w:hint="eastAsia" w:ascii="楷体" w:hAnsi="楷体" w:eastAsia="楷体" w:cs="宋体"/>
                <w:sz w:val="24"/>
                <w:szCs w:val="24"/>
              </w:rPr>
              <w:t>查到2020年13月31日“目标考核表”，检查考核已完成，考核人邓晟。</w:t>
            </w:r>
          </w:p>
          <w:p>
            <w:pPr>
              <w:spacing w:line="360" w:lineRule="auto"/>
              <w:ind w:firstLine="480" w:firstLineChars="200"/>
              <w:jc w:val="left"/>
              <w:rPr>
                <w:rFonts w:ascii="楷体" w:hAnsi="楷体" w:eastAsia="楷体" w:cs="宋体"/>
                <w:sz w:val="24"/>
                <w:szCs w:val="24"/>
              </w:rPr>
            </w:pPr>
            <w:r>
              <w:rPr>
                <w:rFonts w:hint="eastAsia" w:ascii="楷体" w:hAnsi="楷体" w:eastAsia="楷体" w:cs="宋体"/>
                <w:sz w:val="24"/>
                <w:szCs w:val="24"/>
              </w:rPr>
              <w:t>查到2020年3月31日“目标考核表”，检查考核已完成，考核人万志辉。</w:t>
            </w:r>
          </w:p>
          <w:p>
            <w:pPr>
              <w:spacing w:line="360" w:lineRule="auto"/>
              <w:ind w:firstLine="480" w:firstLineChars="200"/>
              <w:jc w:val="left"/>
              <w:rPr>
                <w:rFonts w:ascii="楷体" w:hAnsi="楷体" w:eastAsia="楷体" w:cs="宋体"/>
                <w:sz w:val="24"/>
                <w:szCs w:val="24"/>
              </w:rPr>
            </w:pPr>
            <w:r>
              <w:rPr>
                <w:rFonts w:hint="eastAsia" w:ascii="楷体" w:hAnsi="楷体" w:eastAsia="楷体" w:cs="宋体"/>
                <w:sz w:val="24"/>
                <w:szCs w:val="24"/>
              </w:rPr>
              <w:t>查环境、安全检查记录，公司提供了《综合性安全检查表》检查项目内容涉及：</w:t>
            </w:r>
          </w:p>
          <w:p>
            <w:pPr>
              <w:spacing w:line="360" w:lineRule="auto"/>
              <w:ind w:firstLine="480" w:firstLineChars="200"/>
              <w:jc w:val="left"/>
              <w:rPr>
                <w:rFonts w:ascii="楷体" w:hAnsi="楷体" w:eastAsia="楷体" w:cs="宋体"/>
                <w:sz w:val="24"/>
                <w:szCs w:val="24"/>
              </w:rPr>
            </w:pPr>
            <w:r>
              <w:rPr>
                <w:rFonts w:hint="eastAsia" w:ascii="楷体" w:hAnsi="楷体" w:eastAsia="楷体" w:cs="宋体"/>
                <w:sz w:val="24"/>
                <w:szCs w:val="24"/>
              </w:rPr>
              <w:t>设备保养、设备运转情况、各区域卫生垃圾处理，废料处理、物料摆放情况；安全用电；消防设施是否完好；消防通道是否畅通；消防设施是否定期进行点检；人员是否按规定穿戴防护用品等。</w:t>
            </w:r>
          </w:p>
          <w:p>
            <w:pPr>
              <w:spacing w:line="360" w:lineRule="auto"/>
              <w:ind w:firstLine="480" w:firstLineChars="200"/>
              <w:jc w:val="left"/>
              <w:rPr>
                <w:rFonts w:ascii="楷体" w:hAnsi="楷体" w:eastAsia="楷体" w:cs="宋体"/>
                <w:sz w:val="24"/>
                <w:szCs w:val="24"/>
              </w:rPr>
            </w:pPr>
            <w:r>
              <w:rPr>
                <w:rFonts w:hint="eastAsia" w:ascii="楷体" w:hAnsi="楷体" w:eastAsia="楷体" w:cs="宋体"/>
                <w:sz w:val="24"/>
                <w:szCs w:val="24"/>
              </w:rPr>
              <w:t>抽查2019.11.10、2019.12.8日、2020.1.14日检查结果均正常，检查人黄会卿。</w:t>
            </w:r>
          </w:p>
          <w:p>
            <w:pPr>
              <w:spacing w:line="360" w:lineRule="auto"/>
              <w:ind w:firstLine="480" w:firstLineChars="200"/>
              <w:jc w:val="left"/>
              <w:rPr>
                <w:rFonts w:ascii="楷体" w:hAnsi="楷体" w:eastAsia="楷体" w:cs="宋体"/>
                <w:sz w:val="24"/>
                <w:szCs w:val="24"/>
              </w:rPr>
            </w:pPr>
            <w:r>
              <w:rPr>
                <w:rFonts w:hint="eastAsia" w:ascii="楷体" w:hAnsi="楷体" w:eastAsia="楷体" w:cs="宋体"/>
                <w:sz w:val="24"/>
                <w:szCs w:val="24"/>
              </w:rPr>
              <w:t>提供了食堂人员：张冬兰 樟树市疾病预防控制中心健康体检合格证，发证日期：2019.9.10，有效期：一年。</w:t>
            </w:r>
          </w:p>
          <w:p>
            <w:pPr>
              <w:spacing w:line="360" w:lineRule="auto"/>
              <w:ind w:firstLine="480" w:firstLineChars="200"/>
              <w:jc w:val="left"/>
              <w:rPr>
                <w:rFonts w:ascii="楷体" w:hAnsi="楷体" w:eastAsia="楷体" w:cs="宋体"/>
                <w:sz w:val="24"/>
                <w:szCs w:val="24"/>
              </w:rPr>
            </w:pPr>
            <w:r>
              <w:rPr>
                <w:rFonts w:hint="eastAsia" w:ascii="楷体" w:hAnsi="楷体" w:eastAsia="楷体" w:cs="宋体"/>
                <w:sz w:val="24"/>
                <w:szCs w:val="24"/>
              </w:rPr>
              <w:t>提供了2019年12月29日各工序员工共15人《职业健康检查表》，体检单位：宜春美年大健康体检有限公司慈航门诊部</w:t>
            </w:r>
          </w:p>
          <w:p>
            <w:pPr>
              <w:spacing w:line="360" w:lineRule="auto"/>
              <w:ind w:firstLine="480" w:firstLineChars="200"/>
              <w:jc w:val="left"/>
              <w:rPr>
                <w:rFonts w:ascii="楷体" w:hAnsi="楷体" w:eastAsia="楷体" w:cs="宋体"/>
                <w:sz w:val="24"/>
                <w:szCs w:val="24"/>
              </w:rPr>
            </w:pPr>
            <w:r>
              <w:rPr>
                <w:rFonts w:hint="eastAsia" w:ascii="楷体" w:hAnsi="楷体" w:eastAsia="楷体" w:cs="宋体"/>
                <w:sz w:val="24"/>
                <w:szCs w:val="24"/>
              </w:rPr>
              <w:t>查看了车间喷涂前处理工序员工：杨伟如的《职业健康检查表》，体检结论为无异常，职业适应性意见：可继续从事原岗位工作</w:t>
            </w:r>
          </w:p>
          <w:p>
            <w:pPr>
              <w:spacing w:line="360" w:lineRule="auto"/>
              <w:ind w:firstLine="480" w:firstLineChars="200"/>
              <w:jc w:val="left"/>
              <w:rPr>
                <w:rFonts w:ascii="楷体" w:hAnsi="楷体" w:eastAsia="楷体" w:cs="宋体"/>
                <w:sz w:val="24"/>
                <w:szCs w:val="24"/>
              </w:rPr>
            </w:pPr>
            <w:r>
              <w:rPr>
                <w:rFonts w:hint="eastAsia" w:ascii="楷体" w:hAnsi="楷体" w:eastAsia="楷体" w:cs="宋体"/>
                <w:sz w:val="24"/>
                <w:szCs w:val="24"/>
              </w:rPr>
              <w:t>查看了车间电焊工员工：张小军的《职业健康检查表》，体检结论为无异常，职业适应性意见：可继续从事原岗位工作</w:t>
            </w:r>
          </w:p>
          <w:p>
            <w:pPr>
              <w:spacing w:line="360" w:lineRule="auto"/>
              <w:ind w:firstLine="480" w:firstLineChars="200"/>
              <w:jc w:val="left"/>
              <w:rPr>
                <w:rFonts w:ascii="楷体" w:hAnsi="楷体" w:eastAsia="楷体" w:cs="宋体"/>
                <w:sz w:val="24"/>
                <w:szCs w:val="24"/>
              </w:rPr>
            </w:pPr>
            <w:r>
              <w:rPr>
                <w:rFonts w:hint="eastAsia" w:ascii="楷体" w:hAnsi="楷体" w:eastAsia="楷体" w:cs="宋体"/>
                <w:sz w:val="24"/>
                <w:szCs w:val="24"/>
              </w:rPr>
              <w:t>查看了车间打磨工员工：熊英清的《职业健康检查表》，体检结论为无异常，职业适应性意见：可继续从事原岗位工作</w:t>
            </w:r>
          </w:p>
          <w:p>
            <w:pPr>
              <w:spacing w:line="360" w:lineRule="auto"/>
              <w:ind w:firstLine="480" w:firstLineChars="200"/>
              <w:jc w:val="left"/>
              <w:rPr>
                <w:rFonts w:ascii="楷体" w:hAnsi="楷体" w:eastAsia="楷体" w:cs="宋体"/>
                <w:sz w:val="24"/>
                <w:szCs w:val="24"/>
              </w:rPr>
            </w:pPr>
            <w:r>
              <w:rPr>
                <w:rFonts w:hint="eastAsia" w:ascii="楷体" w:hAnsi="楷体" w:eastAsia="楷体" w:cs="宋体"/>
                <w:sz w:val="24"/>
                <w:szCs w:val="24"/>
              </w:rPr>
              <w:t>未有上级主管部门的监督检查。</w:t>
            </w:r>
          </w:p>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公司经营能遵守相关的法律法规，没有违反环境、职业健康安全法律法规现象，近期没有发生环境与职业健康安全的事故。</w:t>
            </w:r>
          </w:p>
        </w:tc>
        <w:tc>
          <w:tcPr>
            <w:tcW w:w="1585" w:type="dxa"/>
          </w:tcPr>
          <w:p>
            <w:pPr>
              <w:spacing w:line="360" w:lineRule="auto"/>
              <w:rPr>
                <w:rFonts w:ascii="楷体" w:hAnsi="楷体" w:eastAsia="楷体"/>
                <w:sz w:val="24"/>
                <w:szCs w:val="24"/>
                <w:highlight w:val="yellow"/>
              </w:rPr>
            </w:pPr>
            <w:r>
              <w:rPr>
                <w:rFonts w:ascii="楷体" w:hAnsi="楷体" w:eastAsia="楷体"/>
                <w:sz w:val="24"/>
                <w:szCs w:val="24"/>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trPr>
        <w:tc>
          <w:tcPr>
            <w:tcW w:w="1242" w:type="dxa"/>
            <w:vAlign w:val="center"/>
          </w:tcPr>
          <w:p>
            <w:pPr>
              <w:spacing w:line="360" w:lineRule="auto"/>
              <w:rPr>
                <w:rFonts w:ascii="楷体" w:hAnsi="楷体" w:eastAsia="楷体"/>
                <w:sz w:val="24"/>
                <w:szCs w:val="24"/>
              </w:rPr>
            </w:pPr>
            <w:r>
              <w:rPr>
                <w:rFonts w:hint="eastAsia" w:ascii="楷体" w:hAnsi="楷体" w:eastAsia="楷体" w:cs="Arial"/>
                <w:sz w:val="24"/>
                <w:szCs w:val="24"/>
              </w:rPr>
              <w:t>运行策划和控制</w:t>
            </w:r>
          </w:p>
        </w:tc>
        <w:tc>
          <w:tcPr>
            <w:tcW w:w="1276" w:type="dxa"/>
            <w:vAlign w:val="center"/>
          </w:tcPr>
          <w:p>
            <w:pPr>
              <w:spacing w:line="360" w:lineRule="auto"/>
              <w:rPr>
                <w:rFonts w:ascii="楷体" w:hAnsi="楷体" w:eastAsia="楷体" w:cs="楷体"/>
                <w:bCs/>
                <w:sz w:val="24"/>
                <w:szCs w:val="24"/>
              </w:rPr>
            </w:pPr>
            <w:r>
              <w:rPr>
                <w:rFonts w:hint="eastAsia" w:ascii="楷体" w:hAnsi="楷体" w:eastAsia="楷体" w:cs="楷体"/>
                <w:bCs/>
                <w:sz w:val="24"/>
                <w:szCs w:val="24"/>
              </w:rPr>
              <w:t>E8.1</w:t>
            </w:r>
          </w:p>
          <w:p>
            <w:pPr>
              <w:spacing w:line="360" w:lineRule="auto"/>
              <w:rPr>
                <w:rFonts w:ascii="楷体" w:hAnsi="楷体" w:eastAsia="楷体" w:cs="楷体"/>
                <w:sz w:val="24"/>
                <w:szCs w:val="24"/>
              </w:rPr>
            </w:pPr>
          </w:p>
        </w:tc>
        <w:tc>
          <w:tcPr>
            <w:tcW w:w="10606" w:type="dxa"/>
            <w:vAlign w:val="center"/>
          </w:tcPr>
          <w:p>
            <w:pPr>
              <w:snapToGrid w:val="0"/>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公司制定并实施了运行控制程序、废弃物控制程序、噪声控制程序、消防控制程序、资源能源控制程序、化学品油品控制程序、安全防火规程、员工职业健康及劳动保护管理规定、办公用品管理规定、节约用水管理规定、垃圾管理规定、固体废弃物管理规定、应急预案等环境与职业健康安全控制程序和管理制度。</w:t>
            </w:r>
          </w:p>
          <w:p>
            <w:pPr>
              <w:snapToGrid w:val="0"/>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企业位于江西省樟树市城北（张家山）工业园1号路，公司四周是其他企业，无重大敏感区，根据体系运行的需要设置了生产区、办公区。</w:t>
            </w:r>
          </w:p>
          <w:p>
            <w:pPr>
              <w:snapToGrid w:val="0"/>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行政部定期组织环保和安全知识培训，员工具备了基本的环保和职业健康安全防护意识，见7.3条款审核记录。</w:t>
            </w:r>
          </w:p>
          <w:p>
            <w:pPr>
              <w:snapToGrid w:val="0"/>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按公司要求人走关灯，行政部电脑要求人走后电源切断。</w:t>
            </w:r>
          </w:p>
          <w:p>
            <w:pPr>
              <w:snapToGrid w:val="0"/>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办公内主要是电的使用，电器有漏电保护器，经常对电路、电源进行检查，没有露电现象发生。</w:t>
            </w:r>
          </w:p>
          <w:p>
            <w:pPr>
              <w:snapToGrid w:val="0"/>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行政部垃圾主要包含可回收垃圾、硒鼓、废纸。公司配置了垃圾箱，行政部统一处理。对可回收的固体废弃物，一部分由厂家回收，厂家不回收的公司统一回收再利用或由物资回收公司处理，不可回收的废弃物由环卫部门处理。</w:t>
            </w:r>
          </w:p>
          <w:p>
            <w:pPr>
              <w:snapToGrid w:val="0"/>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为满足环境和职业健康安全体系的运行，公司投入主要是安全教育培训、环保/消防设施费用、劳保用品、社保等，运行至今支出约3万元。</w:t>
            </w:r>
          </w:p>
          <w:p>
            <w:pPr>
              <w:snapToGrid w:val="0"/>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办公纸张尽量采取双面打印，人走灯灭，定期检查水管跑冒滴漏。</w:t>
            </w:r>
          </w:p>
          <w:p>
            <w:pPr>
              <w:snapToGrid w:val="0"/>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巡视查看现场办公区域配备了灭火器等消防设施，状况正常。</w:t>
            </w:r>
          </w:p>
          <w:p>
            <w:pPr>
              <w:snapToGrid w:val="0"/>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对于2020年度此次新型冠状病毒感染的肺炎疫情防控事宜，公司有进行人员出入登记，量体温，戴口罩等。提供了2020年4月份《厂外人员进出登记表》和《企业职工体温登记表》，记录了出入人员姓名、电话、出入时间段、体温、是否发热、体温检测人等内容，按要求基本做好了控制。</w:t>
            </w:r>
          </w:p>
          <w:p>
            <w:pPr>
              <w:snapToGrid w:val="0"/>
              <w:spacing w:line="360" w:lineRule="auto"/>
              <w:ind w:firstLine="480" w:firstLineChars="200"/>
              <w:rPr>
                <w:rFonts w:ascii="楷体" w:hAnsi="楷体" w:eastAsia="楷体" w:cs="楷体"/>
                <w:sz w:val="24"/>
                <w:szCs w:val="24"/>
              </w:rPr>
            </w:pPr>
            <w:r>
              <w:rPr>
                <w:rFonts w:ascii="楷体" w:hAnsi="楷体" w:eastAsia="楷体" w:cs="楷体"/>
                <w:sz w:val="24"/>
                <w:szCs w:val="24"/>
              </w:rPr>
              <w:t xml:space="preserve"> </w:t>
            </w:r>
            <w:r>
              <w:rPr>
                <w:rFonts w:hint="eastAsia" w:ascii="楷体" w:hAnsi="楷体" w:eastAsia="楷体" w:cs="楷体"/>
                <w:sz w:val="24"/>
                <w:szCs w:val="24"/>
              </w:rPr>
              <w:t>部门运行控制基本符合要求。</w:t>
            </w:r>
          </w:p>
        </w:tc>
        <w:tc>
          <w:tcPr>
            <w:tcW w:w="1585" w:type="dxa"/>
          </w:tcPr>
          <w:p>
            <w:pPr>
              <w:spacing w:line="360" w:lineRule="auto"/>
              <w:rPr>
                <w:rFonts w:ascii="楷体" w:hAnsi="楷体" w:eastAsia="楷体"/>
                <w:sz w:val="24"/>
                <w:szCs w:val="24"/>
                <w:highlight w:val="yellow"/>
              </w:rPr>
            </w:pPr>
            <w:r>
              <w:rPr>
                <w:rFonts w:ascii="楷体" w:hAnsi="楷体" w:eastAsia="楷体"/>
                <w:sz w:val="24"/>
                <w:szCs w:val="24"/>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1242" w:type="dxa"/>
            <w:vAlign w:val="center"/>
          </w:tcPr>
          <w:p>
            <w:pPr>
              <w:rPr>
                <w:rFonts w:ascii="楷体" w:hAnsi="楷体" w:eastAsia="楷体"/>
                <w:sz w:val="24"/>
                <w:szCs w:val="24"/>
              </w:rPr>
            </w:pPr>
            <w:r>
              <w:rPr>
                <w:rFonts w:hint="eastAsia" w:ascii="楷体" w:hAnsi="楷体" w:eastAsia="楷体" w:cs="Arial"/>
                <w:sz w:val="24"/>
                <w:szCs w:val="24"/>
              </w:rPr>
              <w:t>应急准备和响应</w:t>
            </w:r>
          </w:p>
        </w:tc>
        <w:tc>
          <w:tcPr>
            <w:tcW w:w="1276" w:type="dxa"/>
          </w:tcPr>
          <w:p>
            <w:pPr>
              <w:spacing w:line="360" w:lineRule="auto"/>
              <w:rPr>
                <w:rFonts w:ascii="楷体" w:hAnsi="楷体" w:eastAsia="楷体" w:cs="楷体"/>
                <w:bCs/>
                <w:sz w:val="24"/>
                <w:szCs w:val="24"/>
              </w:rPr>
            </w:pPr>
            <w:r>
              <w:rPr>
                <w:rFonts w:hint="eastAsia" w:ascii="楷体" w:hAnsi="楷体" w:eastAsia="楷体" w:cs="楷体"/>
                <w:bCs/>
                <w:sz w:val="24"/>
                <w:szCs w:val="24"/>
              </w:rPr>
              <w:t>E8.2</w:t>
            </w:r>
          </w:p>
          <w:p>
            <w:pPr>
              <w:spacing w:line="360" w:lineRule="auto"/>
              <w:rPr>
                <w:rFonts w:ascii="楷体" w:hAnsi="楷体" w:eastAsia="楷体" w:cs="楷体"/>
                <w:bCs/>
                <w:sz w:val="24"/>
                <w:szCs w:val="24"/>
              </w:rPr>
            </w:pPr>
          </w:p>
          <w:p>
            <w:pPr>
              <w:spacing w:line="360" w:lineRule="auto"/>
              <w:rPr>
                <w:rFonts w:ascii="楷体" w:hAnsi="楷体" w:eastAsia="楷体" w:cs="楷体"/>
                <w:bCs/>
                <w:sz w:val="24"/>
                <w:szCs w:val="24"/>
              </w:rPr>
            </w:pPr>
          </w:p>
        </w:tc>
        <w:tc>
          <w:tcPr>
            <w:tcW w:w="10606" w:type="dxa"/>
          </w:tcPr>
          <w:p>
            <w:pPr>
              <w:tabs>
                <w:tab w:val="left" w:pos="6597"/>
              </w:tabs>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编制了《应急准备和响应控制程序</w:t>
            </w:r>
            <w:r>
              <w:rPr>
                <w:rFonts w:ascii="楷体" w:hAnsi="楷体" w:eastAsia="楷体" w:cs="楷体"/>
                <w:sz w:val="24"/>
                <w:szCs w:val="24"/>
              </w:rPr>
              <w:t>QJKJ-CX14-2019</w:t>
            </w:r>
            <w:r>
              <w:rPr>
                <w:rFonts w:hint="eastAsia" w:ascii="楷体" w:hAnsi="楷体" w:eastAsia="楷体" w:cs="楷体"/>
                <w:sz w:val="24"/>
                <w:szCs w:val="24"/>
              </w:rPr>
              <w:t>，确定的紧急情况有：火灾、触电等。提供了火灾应急预案、触电事故应急预案、机械伤害事故应急预案、新型冠状病毒感染的肺炎疫情防控工作方案，其中包括目的、适用范围、职责、应急处理细则、演习、必备资料等，相关内容基本充分。</w:t>
            </w:r>
          </w:p>
          <w:p>
            <w:pPr>
              <w:tabs>
                <w:tab w:val="left" w:pos="6597"/>
              </w:tabs>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应急设施配置：在办公场所内、生产区域内均配备了灭火器等消防设施，口罩、消毒水、体温计、手套等防护用品，均在有效期内，状态良好。</w:t>
            </w:r>
          </w:p>
          <w:p>
            <w:pPr>
              <w:tabs>
                <w:tab w:val="left" w:pos="6597"/>
              </w:tabs>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查2019.11.6日的《消防安全应急预案演练记录》，参加人员各岗位人员；记录演练过程、急救措施等内容。总结：在现场演练过程中参加演练的人员都给予了充分的重视，在演练过程中能够听从应急领导小组的指挥，通过应急演练使应急组织成员能够实地的实习应急处理程序过程，为应急组织成员掌握应急处理程序在出现突发事件时有效的组织应急响应活动减少因此造成的人员、财产损失打下良好的基础。同时现场工作人员经过演练掌握了出现突发火灾事件时应如何按应急组织程序要求进行应急处理和有效的撤离和自身防护知识。</w:t>
            </w:r>
          </w:p>
          <w:p>
            <w:pPr>
              <w:tabs>
                <w:tab w:val="left" w:pos="6597"/>
              </w:tabs>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预案适宜性充分性评审：适宜性：全部能够执行；充分性：完全满足应急要求。</w:t>
            </w:r>
          </w:p>
          <w:p>
            <w:pPr>
              <w:tabs>
                <w:tab w:val="left" w:pos="6597"/>
              </w:tabs>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再查2019.11.5日的《触电应急救援预案演练记录》，情况基本同上。</w:t>
            </w:r>
          </w:p>
          <w:p>
            <w:pPr>
              <w:tabs>
                <w:tab w:val="left" w:pos="6597"/>
              </w:tabs>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视频远程现场巡视办公区有灭火器和消防栓，均有效。</w:t>
            </w:r>
          </w:p>
          <w:p>
            <w:pPr>
              <w:tabs>
                <w:tab w:val="left" w:pos="6597"/>
              </w:tabs>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应急演练后对应急预案进行了评审，应急预案不需要修订。自体系运行以来尚未发生紧急情况。</w:t>
            </w:r>
          </w:p>
        </w:tc>
        <w:tc>
          <w:tcPr>
            <w:tcW w:w="1585" w:type="dxa"/>
          </w:tcPr>
          <w:p>
            <w:pPr>
              <w:spacing w:line="360" w:lineRule="auto"/>
              <w:rPr>
                <w:rFonts w:ascii="楷体" w:hAnsi="楷体" w:eastAsia="楷体"/>
                <w:sz w:val="24"/>
                <w:szCs w:val="24"/>
                <w:highlight w:val="yellow"/>
              </w:rPr>
            </w:pPr>
            <w:r>
              <w:rPr>
                <w:rFonts w:ascii="楷体" w:hAnsi="楷体" w:eastAsia="楷体"/>
                <w:sz w:val="24"/>
                <w:szCs w:val="24"/>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1242" w:type="dxa"/>
            <w:vAlign w:val="center"/>
          </w:tcPr>
          <w:p>
            <w:pPr>
              <w:spacing w:line="360" w:lineRule="auto"/>
              <w:rPr>
                <w:rFonts w:ascii="楷体" w:hAnsi="楷体" w:eastAsia="楷体"/>
                <w:sz w:val="24"/>
                <w:szCs w:val="24"/>
              </w:rPr>
            </w:pPr>
            <w:r>
              <w:rPr>
                <w:rFonts w:hint="eastAsia" w:ascii="楷体" w:hAnsi="楷体" w:eastAsia="楷体" w:cs="Arial"/>
                <w:sz w:val="24"/>
                <w:szCs w:val="24"/>
              </w:rPr>
              <w:t>内部审核</w:t>
            </w:r>
          </w:p>
        </w:tc>
        <w:tc>
          <w:tcPr>
            <w:tcW w:w="1276" w:type="dxa"/>
          </w:tcPr>
          <w:p>
            <w:pPr>
              <w:spacing w:line="360" w:lineRule="auto"/>
              <w:rPr>
                <w:rFonts w:ascii="楷体" w:hAnsi="楷体" w:eastAsia="楷体" w:cs="Arial"/>
                <w:sz w:val="24"/>
                <w:szCs w:val="24"/>
              </w:rPr>
            </w:pPr>
            <w:r>
              <w:rPr>
                <w:rFonts w:hint="eastAsia" w:ascii="楷体" w:hAnsi="楷体" w:eastAsia="楷体" w:cs="Arial"/>
                <w:sz w:val="24"/>
                <w:szCs w:val="24"/>
              </w:rPr>
              <w:t>QE9.2</w:t>
            </w:r>
          </w:p>
        </w:tc>
        <w:tc>
          <w:tcPr>
            <w:tcW w:w="10606" w:type="dxa"/>
          </w:tcPr>
          <w:p>
            <w:pPr>
              <w:spacing w:line="360" w:lineRule="auto"/>
              <w:ind w:firstLine="480" w:firstLineChars="200"/>
              <w:rPr>
                <w:rFonts w:ascii="楷体" w:hAnsi="楷体" w:eastAsia="楷体" w:cs="楷体"/>
                <w:sz w:val="24"/>
                <w:szCs w:val="24"/>
              </w:rPr>
            </w:pPr>
            <w:r>
              <w:rPr>
                <w:rFonts w:hint="eastAsia" w:ascii="楷体" w:hAnsi="楷体" w:eastAsia="楷体"/>
                <w:sz w:val="24"/>
                <w:szCs w:val="24"/>
              </w:rPr>
              <w:t>由组</w:t>
            </w:r>
            <w:r>
              <w:rPr>
                <w:rFonts w:hint="eastAsia" w:ascii="楷体" w:hAnsi="楷体" w:eastAsia="楷体" w:cs="楷体"/>
                <w:sz w:val="24"/>
                <w:szCs w:val="24"/>
              </w:rPr>
              <w:t>长邓晟组织内部审核，查年度审核计划：提供《内部审核计划》，其内容已包括了审核目的、范围、依据。</w:t>
            </w:r>
          </w:p>
          <w:p>
            <w:pPr>
              <w:spacing w:line="360" w:lineRule="auto"/>
              <w:ind w:left="456" w:hanging="456" w:hangingChars="190"/>
              <w:rPr>
                <w:rFonts w:ascii="楷体" w:hAnsi="楷体" w:eastAsia="楷体" w:cs="楷体"/>
                <w:sz w:val="24"/>
                <w:szCs w:val="24"/>
              </w:rPr>
            </w:pPr>
            <w:r>
              <w:rPr>
                <w:rFonts w:hint="eastAsia" w:ascii="楷体" w:hAnsi="楷体" w:eastAsia="楷体" w:cs="楷体"/>
                <w:sz w:val="24"/>
                <w:szCs w:val="24"/>
              </w:rPr>
              <w:t>审核组构成：组长：邓晟 组员：徐爱如、曾科进；</w:t>
            </w:r>
          </w:p>
          <w:p>
            <w:pPr>
              <w:spacing w:line="360" w:lineRule="auto"/>
              <w:rPr>
                <w:rFonts w:ascii="楷体" w:hAnsi="楷体" w:eastAsia="楷体"/>
                <w:sz w:val="24"/>
                <w:szCs w:val="24"/>
              </w:rPr>
            </w:pPr>
            <w:r>
              <w:rPr>
                <w:rFonts w:hint="eastAsia" w:ascii="楷体" w:hAnsi="楷体" w:eastAsia="楷体"/>
                <w:sz w:val="24"/>
                <w:szCs w:val="24"/>
              </w:rPr>
              <w:t>1. 审核时间2020年1月6-7日，</w:t>
            </w:r>
          </w:p>
          <w:p>
            <w:pPr>
              <w:spacing w:line="360" w:lineRule="auto"/>
              <w:rPr>
                <w:rFonts w:ascii="楷体" w:hAnsi="楷体" w:eastAsia="楷体"/>
                <w:sz w:val="24"/>
                <w:szCs w:val="24"/>
              </w:rPr>
            </w:pPr>
            <w:r>
              <w:rPr>
                <w:rFonts w:hint="eastAsia" w:ascii="楷体" w:hAnsi="楷体" w:eastAsia="楷体"/>
                <w:sz w:val="24"/>
                <w:szCs w:val="24"/>
              </w:rPr>
              <w:t>2.审核按计划进行，抽查检查表行政部、销售部、采购部、生产部、品质部、财务部审核记录与计划相一致，内审员经内部培训合格，能力还需加强；</w:t>
            </w:r>
          </w:p>
          <w:p>
            <w:pPr>
              <w:spacing w:line="360" w:lineRule="auto"/>
              <w:rPr>
                <w:rFonts w:ascii="楷体" w:hAnsi="楷体" w:eastAsia="楷体"/>
                <w:sz w:val="24"/>
                <w:szCs w:val="24"/>
              </w:rPr>
            </w:pPr>
            <w:r>
              <w:rPr>
                <w:rFonts w:hint="eastAsia" w:ascii="楷体" w:hAnsi="楷体" w:eastAsia="楷体"/>
                <w:sz w:val="24"/>
                <w:szCs w:val="24"/>
              </w:rPr>
              <w:t>审核计划已考虑到互查的公正性，无审核员审核本部门的工作，计划内容涉及各部门，条款覆盖整个体系。本次内审发现1个一般不符合项，针对不合格，责任部门已分析了原因并采取了纠正措施，按要求进行了整改，最后内审员进行了验证，纠正措施实施有效。</w:t>
            </w:r>
          </w:p>
          <w:p>
            <w:pPr>
              <w:spacing w:line="360" w:lineRule="auto"/>
              <w:ind w:firstLine="480" w:firstLineChars="200"/>
              <w:rPr>
                <w:rFonts w:ascii="楷体" w:hAnsi="楷体" w:eastAsia="楷体"/>
                <w:sz w:val="24"/>
                <w:szCs w:val="24"/>
              </w:rPr>
            </w:pPr>
            <w:r>
              <w:rPr>
                <w:rFonts w:hint="eastAsia" w:ascii="楷体" w:hAnsi="楷体" w:eastAsia="楷体"/>
                <w:sz w:val="24"/>
                <w:szCs w:val="24"/>
              </w:rPr>
              <w:t>内部审核结论：提供了《内部审核报告》，对现场审核进行了综述，对质量环境安全管理体系进行了符合性的综合评价，最后结论为：本公司管理体系是符合GB/T19001-2016/ISO 9001：2015《质量管理体系  要求》、ISO45001：2018《职业健康安全管理体系——要求》和GB/T24001-2016/ISO 14001：2015《环境管理体系——要求及使用指南》三个标准要求的，也是符合相关法律、法规要求的。在管理体系运行的过程中，本公司认为是较适宜的、充分的，其运行是有较的。本公司的管理方针得到了广泛的宣传和贯彻，并成为广大员工的自觉行为，各职能部门能按公司管理体系文件的要求执行，但某些部门或车间在执行管理体系文件的过程中仍存在着问题，还有待于持续改进。</w:t>
            </w:r>
          </w:p>
          <w:p>
            <w:pPr>
              <w:spacing w:line="360" w:lineRule="auto"/>
              <w:ind w:firstLine="480" w:firstLineChars="200"/>
              <w:rPr>
                <w:rFonts w:ascii="楷体" w:hAnsi="楷体" w:eastAsia="楷体"/>
                <w:sz w:val="24"/>
                <w:szCs w:val="24"/>
              </w:rPr>
            </w:pPr>
            <w:r>
              <w:rPr>
                <w:rFonts w:hint="eastAsia" w:ascii="楷体" w:hAnsi="楷体" w:eastAsia="楷体"/>
                <w:sz w:val="24"/>
                <w:szCs w:val="24"/>
              </w:rPr>
              <w:t xml:space="preserve"> </w:t>
            </w:r>
          </w:p>
          <w:p>
            <w:pPr>
              <w:spacing w:line="360" w:lineRule="auto"/>
              <w:ind w:firstLine="480" w:firstLineChars="200"/>
              <w:rPr>
                <w:rFonts w:ascii="楷体" w:hAnsi="楷体" w:eastAsia="楷体"/>
                <w:sz w:val="24"/>
                <w:szCs w:val="24"/>
                <w:highlight w:val="yellow"/>
              </w:rPr>
            </w:pPr>
            <w:r>
              <w:rPr>
                <w:rFonts w:ascii="楷体" w:hAnsi="楷体" w:eastAsia="楷体"/>
                <w:sz w:val="24"/>
                <w:szCs w:val="24"/>
              </w:rPr>
              <w:drawing>
                <wp:inline distT="0" distB="0" distL="0" distR="0">
                  <wp:extent cx="2840990" cy="2231390"/>
                  <wp:effectExtent l="1905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9"/>
                          <a:srcRect/>
                          <a:stretch>
                            <a:fillRect/>
                          </a:stretch>
                        </pic:blipFill>
                        <pic:spPr>
                          <a:xfrm>
                            <a:off x="0" y="0"/>
                            <a:ext cx="2841686" cy="2231955"/>
                          </a:xfrm>
                          <a:prstGeom prst="rect">
                            <a:avLst/>
                          </a:prstGeom>
                          <a:noFill/>
                          <a:ln w="9525">
                            <a:noFill/>
                            <a:miter lim="800000"/>
                            <a:headEnd/>
                            <a:tailEnd/>
                          </a:ln>
                        </pic:spPr>
                      </pic:pic>
                    </a:graphicData>
                  </a:graphic>
                </wp:inline>
              </w:drawing>
            </w:r>
            <w:r>
              <w:rPr>
                <w:rFonts w:ascii="楷体" w:hAnsi="楷体" w:eastAsia="楷体"/>
                <w:sz w:val="24"/>
                <w:szCs w:val="24"/>
              </w:rPr>
              <w:drawing>
                <wp:inline distT="0" distB="0" distL="0" distR="0">
                  <wp:extent cx="2383790" cy="2258695"/>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0"/>
                          <a:srcRect/>
                          <a:stretch>
                            <a:fillRect/>
                          </a:stretch>
                        </pic:blipFill>
                        <pic:spPr>
                          <a:xfrm>
                            <a:off x="0" y="0"/>
                            <a:ext cx="2385207" cy="2260454"/>
                          </a:xfrm>
                          <a:prstGeom prst="rect">
                            <a:avLst/>
                          </a:prstGeom>
                          <a:noFill/>
                          <a:ln w="9525">
                            <a:noFill/>
                            <a:miter lim="800000"/>
                            <a:headEnd/>
                            <a:tailEnd/>
                          </a:ln>
                        </pic:spPr>
                      </pic:pic>
                    </a:graphicData>
                  </a:graphic>
                </wp:inline>
              </w:drawing>
            </w:r>
          </w:p>
        </w:tc>
        <w:tc>
          <w:tcPr>
            <w:tcW w:w="1585" w:type="dxa"/>
          </w:tcPr>
          <w:p>
            <w:pPr>
              <w:spacing w:line="360" w:lineRule="auto"/>
              <w:rPr>
                <w:rFonts w:ascii="楷体" w:hAnsi="楷体" w:eastAsia="楷体"/>
                <w:sz w:val="24"/>
                <w:szCs w:val="24"/>
                <w:highlight w:val="yellow"/>
              </w:rPr>
            </w:pPr>
            <w:r>
              <w:rPr>
                <w:rFonts w:ascii="楷体" w:hAnsi="楷体" w:eastAsia="楷体"/>
                <w:sz w:val="24"/>
                <w:szCs w:val="24"/>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atLeast"/>
        </w:trPr>
        <w:tc>
          <w:tcPr>
            <w:tcW w:w="1242" w:type="dxa"/>
            <w:vAlign w:val="center"/>
          </w:tcPr>
          <w:p>
            <w:pPr>
              <w:spacing w:line="360" w:lineRule="auto"/>
              <w:rPr>
                <w:rFonts w:ascii="楷体" w:hAnsi="楷体" w:eastAsia="楷体"/>
                <w:sz w:val="24"/>
                <w:szCs w:val="24"/>
              </w:rPr>
            </w:pPr>
            <w:r>
              <w:rPr>
                <w:rFonts w:hint="eastAsia" w:ascii="楷体" w:hAnsi="楷体" w:eastAsia="楷体" w:cs="宋体"/>
                <w:sz w:val="24"/>
                <w:szCs w:val="24"/>
              </w:rPr>
              <w:t>不合格和纠正措施</w:t>
            </w:r>
          </w:p>
        </w:tc>
        <w:tc>
          <w:tcPr>
            <w:tcW w:w="1276" w:type="dxa"/>
          </w:tcPr>
          <w:p>
            <w:pPr>
              <w:spacing w:line="360" w:lineRule="auto"/>
              <w:rPr>
                <w:rFonts w:ascii="楷体" w:hAnsi="楷体" w:eastAsia="楷体" w:cs="Arial"/>
                <w:sz w:val="24"/>
                <w:szCs w:val="24"/>
              </w:rPr>
            </w:pPr>
            <w:r>
              <w:rPr>
                <w:rFonts w:hint="eastAsia" w:ascii="楷体" w:hAnsi="楷体" w:eastAsia="楷体" w:cs="宋体"/>
                <w:sz w:val="24"/>
                <w:szCs w:val="24"/>
              </w:rPr>
              <w:t>QE10.2</w:t>
            </w:r>
          </w:p>
          <w:p>
            <w:pPr>
              <w:spacing w:line="360" w:lineRule="auto"/>
              <w:rPr>
                <w:rFonts w:ascii="楷体" w:hAnsi="楷体" w:eastAsia="楷体" w:cs="Arial"/>
                <w:sz w:val="24"/>
                <w:szCs w:val="24"/>
              </w:rPr>
            </w:pPr>
          </w:p>
        </w:tc>
        <w:tc>
          <w:tcPr>
            <w:tcW w:w="10606" w:type="dxa"/>
          </w:tcPr>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保持实施《不符合、纠正和预防措施控制程序</w:t>
            </w:r>
            <w:r>
              <w:rPr>
                <w:rFonts w:ascii="楷体" w:hAnsi="楷体" w:eastAsia="楷体" w:cs="宋体"/>
                <w:sz w:val="24"/>
                <w:szCs w:val="24"/>
              </w:rPr>
              <w:t>QJKJ-CX16-2019</w:t>
            </w:r>
            <w:r>
              <w:rPr>
                <w:rFonts w:hint="eastAsia" w:ascii="楷体" w:hAnsi="楷体" w:eastAsia="楷体" w:cs="宋体"/>
                <w:sz w:val="24"/>
                <w:szCs w:val="24"/>
              </w:rPr>
              <w:t>》、《事故调查处理控制程序</w:t>
            </w:r>
            <w:r>
              <w:rPr>
                <w:rFonts w:ascii="楷体" w:hAnsi="楷体" w:eastAsia="楷体" w:cs="宋体"/>
                <w:sz w:val="24"/>
                <w:szCs w:val="24"/>
              </w:rPr>
              <w:t>QJKJ-CX1</w:t>
            </w:r>
            <w:r>
              <w:rPr>
                <w:rFonts w:hint="eastAsia" w:ascii="楷体" w:hAnsi="楷体" w:eastAsia="楷体" w:cs="宋体"/>
                <w:sz w:val="24"/>
                <w:szCs w:val="24"/>
              </w:rPr>
              <w:t>7</w:t>
            </w:r>
            <w:r>
              <w:rPr>
                <w:rFonts w:ascii="楷体" w:hAnsi="楷体" w:eastAsia="楷体" w:cs="宋体"/>
                <w:sz w:val="24"/>
                <w:szCs w:val="24"/>
              </w:rPr>
              <w:t>-2019</w:t>
            </w:r>
            <w:r>
              <w:rPr>
                <w:rFonts w:hint="eastAsia" w:ascii="楷体" w:hAnsi="楷体" w:eastAsia="楷体" w:cs="宋体"/>
                <w:sz w:val="24"/>
                <w:szCs w:val="24"/>
              </w:rPr>
              <w:t>》，对纠正预防措施识别、评审、验证，事故事件报告、调查、处理等作了规定，其内容符合组织实际及标准要求。</w:t>
            </w:r>
          </w:p>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对内审中提出不合格项进行了原因分析,并制定、实施了纠正措施，并由内审员对所采取的纠正措施进行了验证，纠正措施有效，管理评审中发现的薄弱环节，分析了原因，采取了纠正措施（参见内审和管理评审审核记录）。</w:t>
            </w:r>
          </w:p>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体系运行以来公司按照体系的要求，通过运行控制、加强培训，以及开展管理评审活动等方式采取预防措施，防止不符合/不合格的发生，不符合得到了有效控制，人员质量、环保、安全意识有了明显提高，没有发现潜在的不符合，没有发生重大质量事故和投诉处罚，没有发生环境、职业健康安全事件和投诉处罚。</w:t>
            </w:r>
          </w:p>
          <w:p>
            <w:pPr>
              <w:tabs>
                <w:tab w:val="left" w:pos="6597"/>
              </w:tabs>
              <w:spacing w:line="360" w:lineRule="auto"/>
              <w:ind w:firstLine="480" w:firstLineChars="200"/>
              <w:rPr>
                <w:rFonts w:ascii="楷体" w:hAnsi="楷体" w:eastAsia="楷体"/>
                <w:sz w:val="24"/>
                <w:szCs w:val="24"/>
              </w:rPr>
            </w:pPr>
            <w:r>
              <w:rPr>
                <w:rFonts w:hint="eastAsia" w:ascii="楷体" w:hAnsi="楷体" w:eastAsia="楷体" w:cs="宋体"/>
                <w:sz w:val="24"/>
                <w:szCs w:val="24"/>
              </w:rPr>
              <w:t>企业不合格和纠正措施的管理符合标准规定要求。</w:t>
            </w:r>
          </w:p>
        </w:tc>
        <w:tc>
          <w:tcPr>
            <w:tcW w:w="1585" w:type="dxa"/>
          </w:tcPr>
          <w:p>
            <w:pPr>
              <w:spacing w:line="360" w:lineRule="auto"/>
              <w:rPr>
                <w:rFonts w:ascii="楷体" w:hAnsi="楷体" w:eastAsia="楷体"/>
                <w:sz w:val="24"/>
                <w:szCs w:val="24"/>
                <w:highlight w:val="yellow"/>
              </w:rPr>
            </w:pPr>
            <w:r>
              <w:rPr>
                <w:rFonts w:ascii="楷体" w:hAnsi="楷体" w:eastAsia="楷体"/>
                <w:sz w:val="24"/>
                <w:szCs w:val="24"/>
              </w:rPr>
              <w:t>合格</w:t>
            </w:r>
          </w:p>
        </w:tc>
      </w:tr>
    </w:tbl>
    <w:p>
      <w:pPr>
        <w:rPr>
          <w:rFonts w:ascii="楷体" w:hAnsi="楷体" w:eastAsia="楷体"/>
        </w:rPr>
      </w:pPr>
      <w:r>
        <w:rPr>
          <w:rFonts w:ascii="楷体" w:hAnsi="楷体" w:eastAsia="楷体"/>
        </w:rPr>
        <w:ptab w:relativeTo="margin" w:alignment="center" w:leader="none"/>
      </w:r>
    </w:p>
    <w:p>
      <w:pPr>
        <w:rPr>
          <w:rFonts w:ascii="楷体" w:hAnsi="楷体" w:eastAsia="楷体"/>
        </w:rPr>
      </w:pPr>
    </w:p>
    <w:p>
      <w:pPr>
        <w:pStyle w:val="7"/>
        <w:rPr>
          <w:rFonts w:ascii="楷体" w:hAnsi="楷体" w:eastAsia="楷体"/>
        </w:rPr>
      </w:pPr>
      <w:r>
        <w:rPr>
          <w:rFonts w:hint="eastAsia" w:ascii="楷体" w:hAnsi="楷体" w:eastAsia="楷体"/>
        </w:rPr>
        <w:t>说明：不符合标注N</w:t>
      </w: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ourier New">
    <w:panose1 w:val="02070309020205020404"/>
    <w:charset w:val="00"/>
    <w:family w:val="modern"/>
    <w:pitch w:val="default"/>
    <w:sig w:usb0="E0002EFF" w:usb1="C0007843" w:usb2="00000009" w:usb3="00000000" w:csb0="400001FF" w:csb1="FFFF0000"/>
  </w:font>
  <w:font w:name="Book Antiqua">
    <w:altName w:val="Segoe Print"/>
    <w:panose1 w:val="02040602050305030304"/>
    <w:charset w:val="00"/>
    <w:family w:val="roman"/>
    <w:pitch w:val="default"/>
    <w:sig w:usb0="00000000" w:usb1="00000000" w:usb2="00000000" w:usb3="00000000" w:csb0="0000009F" w:csb1="00000000"/>
  </w:font>
  <w:font w:name="楷体">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7"/>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16</w:t>
            </w:r>
            <w:r>
              <w:rPr>
                <w:b/>
                <w:sz w:val="24"/>
                <w:szCs w:val="24"/>
              </w:rPr>
              <w:fldChar w:fldCharType="end"/>
            </w:r>
          </w:p>
        </w:sdtContent>
      </w:sdt>
    </w:sdtContent>
  </w:sdt>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tabs>
        <w:tab w:val="left" w:pos="8910"/>
        <w:tab w:val="left" w:pos="9142"/>
        <w:tab w:val="clear" w:pos="4153"/>
      </w:tabs>
      <w:spacing w:line="320" w:lineRule="exact"/>
      <w:ind w:left="-86" w:leftChars="-41" w:firstLine="810" w:firstLineChars="450"/>
      <w:jc w:val="left"/>
      <w:rPr>
        <w:rStyle w:val="16"/>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6"/>
        <w:rFonts w:hint="default"/>
      </w:rPr>
      <w:t>北京国标联合认证有限公司</w:t>
    </w:r>
    <w:r>
      <w:rPr>
        <w:rStyle w:val="16"/>
        <w:rFonts w:hint="default"/>
      </w:rPr>
      <w:tab/>
    </w:r>
    <w:r>
      <w:rPr>
        <w:rStyle w:val="16"/>
        <w:rFonts w:hint="default"/>
      </w:rPr>
      <w:tab/>
    </w:r>
    <w:r>
      <w:rPr>
        <w:rStyle w:val="16"/>
        <w:rFonts w:hint="default"/>
      </w:rPr>
      <w:tab/>
    </w:r>
  </w:p>
  <w:p>
    <w:pPr>
      <w:pStyle w:val="8"/>
      <w:pBdr>
        <w:bottom w:val="none" w:color="auto" w:sz="0" w:space="1"/>
      </w:pBdr>
      <w:spacing w:line="320" w:lineRule="exact"/>
      <w:jc w:val="left"/>
    </w:pPr>
    <w:r>
      <w:pict>
        <v:shape id="文本框 1" o:spid="_x0000_s2050" o:spt="202" type="#_x0000_t202" style="position:absolute;left:0pt;margin-left:554.75pt;margin-top:2.2pt;height:20.2pt;width:172pt;z-index:251661312;mso-width-relative:page;mso-height-relative:page;" stroked="f" coordsize="21600,21600"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v:path/>
          <v:fill focussize="0,0"/>
          <v:stroke on="f" joinstyle="miter"/>
          <v:imagedata o:title=""/>
          <o:lock v:ext="edit"/>
          <v:textbox>
            <w:txbxContent>
              <w:p>
                <w:r>
                  <w:rPr>
                    <w:rFonts w:hint="eastAsia"/>
                    <w:sz w:val="18"/>
                    <w:szCs w:val="18"/>
                  </w:rPr>
                  <w:t>ISC-B-II-31管理体系审核记录表(03版)</w:t>
                </w:r>
              </w:p>
            </w:txbxContent>
          </v:textbox>
        </v:shape>
      </w:pict>
    </w:r>
    <w:r>
      <w:rPr>
        <w:rStyle w:val="16"/>
        <w:rFonts w:hint="default"/>
        <w:w w:val="90"/>
      </w:rPr>
      <w:t>Beijing International Standard united Certification Co.,Ltd.</w:t>
    </w:r>
  </w:p>
  <w:p>
    <w:pPr>
      <w:pStyle w:val="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9973B4"/>
    <w:rsid w:val="000038DC"/>
    <w:rsid w:val="00004817"/>
    <w:rsid w:val="00005351"/>
    <w:rsid w:val="00012D7B"/>
    <w:rsid w:val="000146B2"/>
    <w:rsid w:val="00014A12"/>
    <w:rsid w:val="00020901"/>
    <w:rsid w:val="000214B6"/>
    <w:rsid w:val="00023EF2"/>
    <w:rsid w:val="00024498"/>
    <w:rsid w:val="0002531E"/>
    <w:rsid w:val="000277D0"/>
    <w:rsid w:val="0003138C"/>
    <w:rsid w:val="000313D2"/>
    <w:rsid w:val="0003373A"/>
    <w:rsid w:val="00035EE6"/>
    <w:rsid w:val="00035FB9"/>
    <w:rsid w:val="00037127"/>
    <w:rsid w:val="000412F6"/>
    <w:rsid w:val="0005199E"/>
    <w:rsid w:val="00052202"/>
    <w:rsid w:val="00053F56"/>
    <w:rsid w:val="0005697E"/>
    <w:rsid w:val="000579CF"/>
    <w:rsid w:val="00060270"/>
    <w:rsid w:val="00060BFF"/>
    <w:rsid w:val="00061F6E"/>
    <w:rsid w:val="000721BE"/>
    <w:rsid w:val="00074F39"/>
    <w:rsid w:val="00082216"/>
    <w:rsid w:val="00082398"/>
    <w:rsid w:val="000849D2"/>
    <w:rsid w:val="00084DAD"/>
    <w:rsid w:val="000870FB"/>
    <w:rsid w:val="00094791"/>
    <w:rsid w:val="000A067A"/>
    <w:rsid w:val="000A30F9"/>
    <w:rsid w:val="000A5E44"/>
    <w:rsid w:val="000B1394"/>
    <w:rsid w:val="000B2F9B"/>
    <w:rsid w:val="000B40BD"/>
    <w:rsid w:val="000B69C3"/>
    <w:rsid w:val="000B6EAD"/>
    <w:rsid w:val="000C123B"/>
    <w:rsid w:val="000C23FE"/>
    <w:rsid w:val="000C2D5B"/>
    <w:rsid w:val="000D4F09"/>
    <w:rsid w:val="000D5401"/>
    <w:rsid w:val="000D697A"/>
    <w:rsid w:val="000D7C2E"/>
    <w:rsid w:val="000E2B69"/>
    <w:rsid w:val="000E355F"/>
    <w:rsid w:val="000E4402"/>
    <w:rsid w:val="000E6907"/>
    <w:rsid w:val="000E7EF7"/>
    <w:rsid w:val="000F35F1"/>
    <w:rsid w:val="000F7D53"/>
    <w:rsid w:val="000F7DB7"/>
    <w:rsid w:val="001022F1"/>
    <w:rsid w:val="001037D5"/>
    <w:rsid w:val="001068A0"/>
    <w:rsid w:val="00106F20"/>
    <w:rsid w:val="0011084D"/>
    <w:rsid w:val="00110E50"/>
    <w:rsid w:val="0011531E"/>
    <w:rsid w:val="0012058E"/>
    <w:rsid w:val="00123A35"/>
    <w:rsid w:val="00126D95"/>
    <w:rsid w:val="00132572"/>
    <w:rsid w:val="00135F92"/>
    <w:rsid w:val="001365B4"/>
    <w:rsid w:val="00140DDF"/>
    <w:rsid w:val="00145688"/>
    <w:rsid w:val="001456CB"/>
    <w:rsid w:val="00147EDB"/>
    <w:rsid w:val="001677C1"/>
    <w:rsid w:val="00170B6A"/>
    <w:rsid w:val="00174C08"/>
    <w:rsid w:val="00176B5D"/>
    <w:rsid w:val="001825AD"/>
    <w:rsid w:val="00185DBE"/>
    <w:rsid w:val="00187C5A"/>
    <w:rsid w:val="001918ED"/>
    <w:rsid w:val="00192A7F"/>
    <w:rsid w:val="00194D96"/>
    <w:rsid w:val="00194E5B"/>
    <w:rsid w:val="00196076"/>
    <w:rsid w:val="001972C0"/>
    <w:rsid w:val="001A19A1"/>
    <w:rsid w:val="001A2D7F"/>
    <w:rsid w:val="001A3DF8"/>
    <w:rsid w:val="001A572D"/>
    <w:rsid w:val="001B1B11"/>
    <w:rsid w:val="001B324E"/>
    <w:rsid w:val="001B6887"/>
    <w:rsid w:val="001B6E5E"/>
    <w:rsid w:val="001B700E"/>
    <w:rsid w:val="001C0776"/>
    <w:rsid w:val="001C2BC9"/>
    <w:rsid w:val="001C39CB"/>
    <w:rsid w:val="001C3F50"/>
    <w:rsid w:val="001C51A9"/>
    <w:rsid w:val="001C7693"/>
    <w:rsid w:val="001D1D7C"/>
    <w:rsid w:val="001D4AD8"/>
    <w:rsid w:val="001D54FF"/>
    <w:rsid w:val="001D5787"/>
    <w:rsid w:val="001E1974"/>
    <w:rsid w:val="001E72C1"/>
    <w:rsid w:val="001F032F"/>
    <w:rsid w:val="001F2539"/>
    <w:rsid w:val="001F2A46"/>
    <w:rsid w:val="001F71E8"/>
    <w:rsid w:val="00201F4A"/>
    <w:rsid w:val="00202BC2"/>
    <w:rsid w:val="0021168C"/>
    <w:rsid w:val="00214113"/>
    <w:rsid w:val="00215081"/>
    <w:rsid w:val="00215C24"/>
    <w:rsid w:val="00222532"/>
    <w:rsid w:val="00223BE5"/>
    <w:rsid w:val="002358ED"/>
    <w:rsid w:val="00235ED5"/>
    <w:rsid w:val="00237445"/>
    <w:rsid w:val="00242311"/>
    <w:rsid w:val="00244953"/>
    <w:rsid w:val="00245047"/>
    <w:rsid w:val="0024737A"/>
    <w:rsid w:val="00252B36"/>
    <w:rsid w:val="002533AB"/>
    <w:rsid w:val="002555AC"/>
    <w:rsid w:val="00255ADF"/>
    <w:rsid w:val="00257299"/>
    <w:rsid w:val="002651A6"/>
    <w:rsid w:val="002715B5"/>
    <w:rsid w:val="00273CE2"/>
    <w:rsid w:val="00274A36"/>
    <w:rsid w:val="002760CB"/>
    <w:rsid w:val="0027659A"/>
    <w:rsid w:val="002769EB"/>
    <w:rsid w:val="002920A4"/>
    <w:rsid w:val="0029464B"/>
    <w:rsid w:val="002973F0"/>
    <w:rsid w:val="002975C1"/>
    <w:rsid w:val="002977E1"/>
    <w:rsid w:val="002A0E6E"/>
    <w:rsid w:val="002A33CC"/>
    <w:rsid w:val="002B1808"/>
    <w:rsid w:val="002C1ACE"/>
    <w:rsid w:val="002C3E0D"/>
    <w:rsid w:val="002D2873"/>
    <w:rsid w:val="002D41FB"/>
    <w:rsid w:val="002E0587"/>
    <w:rsid w:val="002E1E1D"/>
    <w:rsid w:val="002E6597"/>
    <w:rsid w:val="002F030C"/>
    <w:rsid w:val="002F1DCE"/>
    <w:rsid w:val="002F51CA"/>
    <w:rsid w:val="003002BB"/>
    <w:rsid w:val="003120F5"/>
    <w:rsid w:val="00313F8D"/>
    <w:rsid w:val="00314099"/>
    <w:rsid w:val="00316FF8"/>
    <w:rsid w:val="00317401"/>
    <w:rsid w:val="00317FAF"/>
    <w:rsid w:val="0032112D"/>
    <w:rsid w:val="00325BFD"/>
    <w:rsid w:val="003264F9"/>
    <w:rsid w:val="00326FC1"/>
    <w:rsid w:val="00327EB6"/>
    <w:rsid w:val="00330DBC"/>
    <w:rsid w:val="0033788E"/>
    <w:rsid w:val="00337922"/>
    <w:rsid w:val="003379A5"/>
    <w:rsid w:val="00340867"/>
    <w:rsid w:val="00341CA5"/>
    <w:rsid w:val="00342857"/>
    <w:rsid w:val="003464C5"/>
    <w:rsid w:val="003504E8"/>
    <w:rsid w:val="003507AC"/>
    <w:rsid w:val="00351CD4"/>
    <w:rsid w:val="003608CB"/>
    <w:rsid w:val="003627B6"/>
    <w:rsid w:val="003675FE"/>
    <w:rsid w:val="003708D5"/>
    <w:rsid w:val="0037587D"/>
    <w:rsid w:val="003800DE"/>
    <w:rsid w:val="0038061A"/>
    <w:rsid w:val="0038063B"/>
    <w:rsid w:val="00380837"/>
    <w:rsid w:val="00382EDD"/>
    <w:rsid w:val="003836CA"/>
    <w:rsid w:val="003848AC"/>
    <w:rsid w:val="00386171"/>
    <w:rsid w:val="00386A98"/>
    <w:rsid w:val="00392D5A"/>
    <w:rsid w:val="003940D7"/>
    <w:rsid w:val="003965AB"/>
    <w:rsid w:val="003A1E9C"/>
    <w:rsid w:val="003A3803"/>
    <w:rsid w:val="003A57BB"/>
    <w:rsid w:val="003A5B31"/>
    <w:rsid w:val="003B4391"/>
    <w:rsid w:val="003B4C0E"/>
    <w:rsid w:val="003B4DB8"/>
    <w:rsid w:val="003B63F4"/>
    <w:rsid w:val="003B686D"/>
    <w:rsid w:val="003B6EB8"/>
    <w:rsid w:val="003C7699"/>
    <w:rsid w:val="003D1723"/>
    <w:rsid w:val="003D470D"/>
    <w:rsid w:val="003D6BE3"/>
    <w:rsid w:val="003E0907"/>
    <w:rsid w:val="003E0E52"/>
    <w:rsid w:val="003E2C93"/>
    <w:rsid w:val="003E449F"/>
    <w:rsid w:val="003F20A5"/>
    <w:rsid w:val="003F6B8B"/>
    <w:rsid w:val="00400B96"/>
    <w:rsid w:val="00400C4E"/>
    <w:rsid w:val="00405D5F"/>
    <w:rsid w:val="00410914"/>
    <w:rsid w:val="00415AA3"/>
    <w:rsid w:val="00420650"/>
    <w:rsid w:val="00420C60"/>
    <w:rsid w:val="00422BE6"/>
    <w:rsid w:val="00430432"/>
    <w:rsid w:val="00432E49"/>
    <w:rsid w:val="00433759"/>
    <w:rsid w:val="0043494E"/>
    <w:rsid w:val="004414A5"/>
    <w:rsid w:val="00441B50"/>
    <w:rsid w:val="0044209C"/>
    <w:rsid w:val="004428CE"/>
    <w:rsid w:val="004478E6"/>
    <w:rsid w:val="00450792"/>
    <w:rsid w:val="00456697"/>
    <w:rsid w:val="004606D0"/>
    <w:rsid w:val="00463AD4"/>
    <w:rsid w:val="00463F22"/>
    <w:rsid w:val="00465FE1"/>
    <w:rsid w:val="00466134"/>
    <w:rsid w:val="00475491"/>
    <w:rsid w:val="004869FB"/>
    <w:rsid w:val="00487DDC"/>
    <w:rsid w:val="00491735"/>
    <w:rsid w:val="00493760"/>
    <w:rsid w:val="00494A46"/>
    <w:rsid w:val="00495E16"/>
    <w:rsid w:val="00497CEF"/>
    <w:rsid w:val="004A1070"/>
    <w:rsid w:val="004A38FC"/>
    <w:rsid w:val="004A3C73"/>
    <w:rsid w:val="004A4739"/>
    <w:rsid w:val="004A7106"/>
    <w:rsid w:val="004B217F"/>
    <w:rsid w:val="004B3E7F"/>
    <w:rsid w:val="004B57AB"/>
    <w:rsid w:val="004B77C5"/>
    <w:rsid w:val="004C07FE"/>
    <w:rsid w:val="004C3A73"/>
    <w:rsid w:val="004C5731"/>
    <w:rsid w:val="004C5BFE"/>
    <w:rsid w:val="004C5C5A"/>
    <w:rsid w:val="004C78A9"/>
    <w:rsid w:val="004D3E4C"/>
    <w:rsid w:val="004D55E7"/>
    <w:rsid w:val="004D62EF"/>
    <w:rsid w:val="004D7A97"/>
    <w:rsid w:val="004E5609"/>
    <w:rsid w:val="004E61BC"/>
    <w:rsid w:val="004E63AC"/>
    <w:rsid w:val="004F185D"/>
    <w:rsid w:val="004F750F"/>
    <w:rsid w:val="00500565"/>
    <w:rsid w:val="00502C53"/>
    <w:rsid w:val="005052B3"/>
    <w:rsid w:val="005056ED"/>
    <w:rsid w:val="00505819"/>
    <w:rsid w:val="005064D2"/>
    <w:rsid w:val="00515C94"/>
    <w:rsid w:val="00516644"/>
    <w:rsid w:val="00516693"/>
    <w:rsid w:val="00517E4C"/>
    <w:rsid w:val="00520F6D"/>
    <w:rsid w:val="005213B7"/>
    <w:rsid w:val="00521CF0"/>
    <w:rsid w:val="00522610"/>
    <w:rsid w:val="00523D34"/>
    <w:rsid w:val="0052582F"/>
    <w:rsid w:val="00527341"/>
    <w:rsid w:val="00531909"/>
    <w:rsid w:val="0053208B"/>
    <w:rsid w:val="0053404C"/>
    <w:rsid w:val="00534814"/>
    <w:rsid w:val="00535EB3"/>
    <w:rsid w:val="00536930"/>
    <w:rsid w:val="00541AE2"/>
    <w:rsid w:val="00546D5F"/>
    <w:rsid w:val="00552785"/>
    <w:rsid w:val="00552BDE"/>
    <w:rsid w:val="00553CB0"/>
    <w:rsid w:val="005571F6"/>
    <w:rsid w:val="005577AD"/>
    <w:rsid w:val="00560A2A"/>
    <w:rsid w:val="00564E53"/>
    <w:rsid w:val="005652DC"/>
    <w:rsid w:val="005675B7"/>
    <w:rsid w:val="005706CE"/>
    <w:rsid w:val="00576C70"/>
    <w:rsid w:val="00580B9E"/>
    <w:rsid w:val="00583277"/>
    <w:rsid w:val="00592C3E"/>
    <w:rsid w:val="005978E6"/>
    <w:rsid w:val="005A000F"/>
    <w:rsid w:val="005A25DA"/>
    <w:rsid w:val="005A5268"/>
    <w:rsid w:val="005B173D"/>
    <w:rsid w:val="005B2F7B"/>
    <w:rsid w:val="005B6888"/>
    <w:rsid w:val="005D1D88"/>
    <w:rsid w:val="005D3677"/>
    <w:rsid w:val="005D59EB"/>
    <w:rsid w:val="005E20E9"/>
    <w:rsid w:val="005E277A"/>
    <w:rsid w:val="005F18C2"/>
    <w:rsid w:val="005F6C65"/>
    <w:rsid w:val="00600F02"/>
    <w:rsid w:val="00604098"/>
    <w:rsid w:val="0060444D"/>
    <w:rsid w:val="00604DB4"/>
    <w:rsid w:val="00611393"/>
    <w:rsid w:val="00615924"/>
    <w:rsid w:val="006223EE"/>
    <w:rsid w:val="00623B63"/>
    <w:rsid w:val="00624222"/>
    <w:rsid w:val="00624F35"/>
    <w:rsid w:val="00633AC5"/>
    <w:rsid w:val="00637E5C"/>
    <w:rsid w:val="00642776"/>
    <w:rsid w:val="00644FE2"/>
    <w:rsid w:val="00645FB8"/>
    <w:rsid w:val="00651986"/>
    <w:rsid w:val="006545E8"/>
    <w:rsid w:val="006629CC"/>
    <w:rsid w:val="00664736"/>
    <w:rsid w:val="00665980"/>
    <w:rsid w:val="006676DD"/>
    <w:rsid w:val="006727F9"/>
    <w:rsid w:val="0067640C"/>
    <w:rsid w:val="00681DFF"/>
    <w:rsid w:val="006836D9"/>
    <w:rsid w:val="00683914"/>
    <w:rsid w:val="006849AB"/>
    <w:rsid w:val="0068548D"/>
    <w:rsid w:val="00686182"/>
    <w:rsid w:val="00692812"/>
    <w:rsid w:val="00694433"/>
    <w:rsid w:val="006946B4"/>
    <w:rsid w:val="00695256"/>
    <w:rsid w:val="00695570"/>
    <w:rsid w:val="006969F1"/>
    <w:rsid w:val="00696AF1"/>
    <w:rsid w:val="006A102C"/>
    <w:rsid w:val="006A31E8"/>
    <w:rsid w:val="006A3B31"/>
    <w:rsid w:val="006A68F3"/>
    <w:rsid w:val="006A6EA3"/>
    <w:rsid w:val="006A7352"/>
    <w:rsid w:val="006B182C"/>
    <w:rsid w:val="006B30C6"/>
    <w:rsid w:val="006B4127"/>
    <w:rsid w:val="006C058B"/>
    <w:rsid w:val="006C24BF"/>
    <w:rsid w:val="006C36AB"/>
    <w:rsid w:val="006C40B9"/>
    <w:rsid w:val="006C4656"/>
    <w:rsid w:val="006C4CFB"/>
    <w:rsid w:val="006D265F"/>
    <w:rsid w:val="006D2C16"/>
    <w:rsid w:val="006D4DF7"/>
    <w:rsid w:val="006D5BDA"/>
    <w:rsid w:val="006E678B"/>
    <w:rsid w:val="006F2682"/>
    <w:rsid w:val="0070367F"/>
    <w:rsid w:val="00710655"/>
    <w:rsid w:val="00712F3C"/>
    <w:rsid w:val="00713015"/>
    <w:rsid w:val="007170AA"/>
    <w:rsid w:val="007175F5"/>
    <w:rsid w:val="0072638A"/>
    <w:rsid w:val="00726642"/>
    <w:rsid w:val="007305F5"/>
    <w:rsid w:val="00732B66"/>
    <w:rsid w:val="007378E4"/>
    <w:rsid w:val="00737C8F"/>
    <w:rsid w:val="007406DE"/>
    <w:rsid w:val="00743E79"/>
    <w:rsid w:val="00744BEA"/>
    <w:rsid w:val="00751532"/>
    <w:rsid w:val="00751C37"/>
    <w:rsid w:val="00753CB6"/>
    <w:rsid w:val="00754C46"/>
    <w:rsid w:val="0075769B"/>
    <w:rsid w:val="007618BC"/>
    <w:rsid w:val="00772340"/>
    <w:rsid w:val="00774D00"/>
    <w:rsid w:val="007757F3"/>
    <w:rsid w:val="007815DC"/>
    <w:rsid w:val="007821AE"/>
    <w:rsid w:val="007839F5"/>
    <w:rsid w:val="00783C4A"/>
    <w:rsid w:val="00787C80"/>
    <w:rsid w:val="00790D5E"/>
    <w:rsid w:val="00790E09"/>
    <w:rsid w:val="00790FC6"/>
    <w:rsid w:val="007925FD"/>
    <w:rsid w:val="00794D01"/>
    <w:rsid w:val="00795FA6"/>
    <w:rsid w:val="007A2C5A"/>
    <w:rsid w:val="007A47FB"/>
    <w:rsid w:val="007A6299"/>
    <w:rsid w:val="007B106B"/>
    <w:rsid w:val="007B275D"/>
    <w:rsid w:val="007C24A1"/>
    <w:rsid w:val="007C2EC8"/>
    <w:rsid w:val="007E03E9"/>
    <w:rsid w:val="007E6AEB"/>
    <w:rsid w:val="007E7C11"/>
    <w:rsid w:val="007F01EC"/>
    <w:rsid w:val="007F0EA0"/>
    <w:rsid w:val="007F1DD4"/>
    <w:rsid w:val="007F3AD5"/>
    <w:rsid w:val="007F6A62"/>
    <w:rsid w:val="007F7DF2"/>
    <w:rsid w:val="00803706"/>
    <w:rsid w:val="0080433F"/>
    <w:rsid w:val="0080780F"/>
    <w:rsid w:val="008079FA"/>
    <w:rsid w:val="00810D58"/>
    <w:rsid w:val="00812C6B"/>
    <w:rsid w:val="008154B0"/>
    <w:rsid w:val="00815AF5"/>
    <w:rsid w:val="008160E3"/>
    <w:rsid w:val="00827CD6"/>
    <w:rsid w:val="008343CB"/>
    <w:rsid w:val="00834F70"/>
    <w:rsid w:val="00835B31"/>
    <w:rsid w:val="00850591"/>
    <w:rsid w:val="00861584"/>
    <w:rsid w:val="0086249C"/>
    <w:rsid w:val="008638DE"/>
    <w:rsid w:val="00863B20"/>
    <w:rsid w:val="008646DE"/>
    <w:rsid w:val="00864902"/>
    <w:rsid w:val="00864BE7"/>
    <w:rsid w:val="00865200"/>
    <w:rsid w:val="00866A54"/>
    <w:rsid w:val="00871695"/>
    <w:rsid w:val="00872888"/>
    <w:rsid w:val="0087521C"/>
    <w:rsid w:val="0088174B"/>
    <w:rsid w:val="00881C64"/>
    <w:rsid w:val="00885631"/>
    <w:rsid w:val="00886006"/>
    <w:rsid w:val="00891C25"/>
    <w:rsid w:val="00894200"/>
    <w:rsid w:val="008973EE"/>
    <w:rsid w:val="008A0DA8"/>
    <w:rsid w:val="008A4AC0"/>
    <w:rsid w:val="008A7C7E"/>
    <w:rsid w:val="008B028C"/>
    <w:rsid w:val="008B21BA"/>
    <w:rsid w:val="008B4EE2"/>
    <w:rsid w:val="008B7990"/>
    <w:rsid w:val="008C199E"/>
    <w:rsid w:val="008C1CA5"/>
    <w:rsid w:val="008C53BD"/>
    <w:rsid w:val="008C6BF3"/>
    <w:rsid w:val="008D089D"/>
    <w:rsid w:val="008D23FA"/>
    <w:rsid w:val="008E0673"/>
    <w:rsid w:val="008E51B5"/>
    <w:rsid w:val="008E792C"/>
    <w:rsid w:val="008F0B04"/>
    <w:rsid w:val="008F1079"/>
    <w:rsid w:val="008F3781"/>
    <w:rsid w:val="008F6DB9"/>
    <w:rsid w:val="008F7C55"/>
    <w:rsid w:val="00901BAF"/>
    <w:rsid w:val="0090402A"/>
    <w:rsid w:val="00904554"/>
    <w:rsid w:val="0091272B"/>
    <w:rsid w:val="00930694"/>
    <w:rsid w:val="00932193"/>
    <w:rsid w:val="0093521F"/>
    <w:rsid w:val="0093786C"/>
    <w:rsid w:val="00945677"/>
    <w:rsid w:val="00951EAA"/>
    <w:rsid w:val="0095571F"/>
    <w:rsid w:val="00955B84"/>
    <w:rsid w:val="0095689B"/>
    <w:rsid w:val="00962F78"/>
    <w:rsid w:val="00963A6C"/>
    <w:rsid w:val="00965A0E"/>
    <w:rsid w:val="0096609F"/>
    <w:rsid w:val="00971600"/>
    <w:rsid w:val="00984342"/>
    <w:rsid w:val="00993632"/>
    <w:rsid w:val="00995C51"/>
    <w:rsid w:val="00996B0D"/>
    <w:rsid w:val="009973B4"/>
    <w:rsid w:val="009A1279"/>
    <w:rsid w:val="009A3FB8"/>
    <w:rsid w:val="009A4B5C"/>
    <w:rsid w:val="009A6F79"/>
    <w:rsid w:val="009B16F4"/>
    <w:rsid w:val="009B4D68"/>
    <w:rsid w:val="009B6785"/>
    <w:rsid w:val="009B6AB3"/>
    <w:rsid w:val="009B7EB8"/>
    <w:rsid w:val="009C131F"/>
    <w:rsid w:val="009D1075"/>
    <w:rsid w:val="009D1A3F"/>
    <w:rsid w:val="009D2F66"/>
    <w:rsid w:val="009D57CF"/>
    <w:rsid w:val="009D73FE"/>
    <w:rsid w:val="009E12E7"/>
    <w:rsid w:val="009E2238"/>
    <w:rsid w:val="009E30DA"/>
    <w:rsid w:val="009E3D68"/>
    <w:rsid w:val="009E3FDC"/>
    <w:rsid w:val="009E6193"/>
    <w:rsid w:val="009E7DD1"/>
    <w:rsid w:val="009F3FB8"/>
    <w:rsid w:val="009F6386"/>
    <w:rsid w:val="009F7BFC"/>
    <w:rsid w:val="009F7EED"/>
    <w:rsid w:val="00A0721A"/>
    <w:rsid w:val="00A138EC"/>
    <w:rsid w:val="00A15257"/>
    <w:rsid w:val="00A260DD"/>
    <w:rsid w:val="00A33BB2"/>
    <w:rsid w:val="00A378F6"/>
    <w:rsid w:val="00A41F32"/>
    <w:rsid w:val="00A50B4B"/>
    <w:rsid w:val="00A51349"/>
    <w:rsid w:val="00A57E86"/>
    <w:rsid w:val="00A61ED7"/>
    <w:rsid w:val="00A64722"/>
    <w:rsid w:val="00A743CD"/>
    <w:rsid w:val="00A76CD3"/>
    <w:rsid w:val="00A801DE"/>
    <w:rsid w:val="00A80C1F"/>
    <w:rsid w:val="00A81FD7"/>
    <w:rsid w:val="00A86BDD"/>
    <w:rsid w:val="00A90A22"/>
    <w:rsid w:val="00A93100"/>
    <w:rsid w:val="00A969B9"/>
    <w:rsid w:val="00A96A66"/>
    <w:rsid w:val="00A97734"/>
    <w:rsid w:val="00A97D5C"/>
    <w:rsid w:val="00AA1858"/>
    <w:rsid w:val="00AA2BD6"/>
    <w:rsid w:val="00AA3149"/>
    <w:rsid w:val="00AA5451"/>
    <w:rsid w:val="00AA6131"/>
    <w:rsid w:val="00AA6A45"/>
    <w:rsid w:val="00AA7528"/>
    <w:rsid w:val="00AA7F40"/>
    <w:rsid w:val="00AB41FC"/>
    <w:rsid w:val="00AB7D2F"/>
    <w:rsid w:val="00AC1D8B"/>
    <w:rsid w:val="00AC24B1"/>
    <w:rsid w:val="00AC260E"/>
    <w:rsid w:val="00AD145D"/>
    <w:rsid w:val="00AD20E6"/>
    <w:rsid w:val="00AD6F34"/>
    <w:rsid w:val="00AE020D"/>
    <w:rsid w:val="00AE0F91"/>
    <w:rsid w:val="00AE14A3"/>
    <w:rsid w:val="00AF0AAB"/>
    <w:rsid w:val="00AF156F"/>
    <w:rsid w:val="00AF616B"/>
    <w:rsid w:val="00B034AD"/>
    <w:rsid w:val="00B0685B"/>
    <w:rsid w:val="00B06B5B"/>
    <w:rsid w:val="00B0721E"/>
    <w:rsid w:val="00B127C6"/>
    <w:rsid w:val="00B14B87"/>
    <w:rsid w:val="00B22D22"/>
    <w:rsid w:val="00B23030"/>
    <w:rsid w:val="00B237B9"/>
    <w:rsid w:val="00B23CAA"/>
    <w:rsid w:val="00B2489D"/>
    <w:rsid w:val="00B31E41"/>
    <w:rsid w:val="00B37E52"/>
    <w:rsid w:val="00B410EE"/>
    <w:rsid w:val="00B427EC"/>
    <w:rsid w:val="00B526B1"/>
    <w:rsid w:val="00B546C0"/>
    <w:rsid w:val="00B565BF"/>
    <w:rsid w:val="00B6762E"/>
    <w:rsid w:val="00B71EA0"/>
    <w:rsid w:val="00B729F6"/>
    <w:rsid w:val="00B73843"/>
    <w:rsid w:val="00B73B0E"/>
    <w:rsid w:val="00B73EA8"/>
    <w:rsid w:val="00B8202D"/>
    <w:rsid w:val="00B82639"/>
    <w:rsid w:val="00B91271"/>
    <w:rsid w:val="00B91605"/>
    <w:rsid w:val="00B929FD"/>
    <w:rsid w:val="00B95B99"/>
    <w:rsid w:val="00B95F69"/>
    <w:rsid w:val="00BA435D"/>
    <w:rsid w:val="00BA5B19"/>
    <w:rsid w:val="00BB0434"/>
    <w:rsid w:val="00BC0122"/>
    <w:rsid w:val="00BC2015"/>
    <w:rsid w:val="00BC71B0"/>
    <w:rsid w:val="00BD3E2B"/>
    <w:rsid w:val="00BD4E08"/>
    <w:rsid w:val="00BD6DBC"/>
    <w:rsid w:val="00BE00E9"/>
    <w:rsid w:val="00BE512D"/>
    <w:rsid w:val="00BE7AD6"/>
    <w:rsid w:val="00BF3DC9"/>
    <w:rsid w:val="00BF597E"/>
    <w:rsid w:val="00C03098"/>
    <w:rsid w:val="00C070E4"/>
    <w:rsid w:val="00C10EF3"/>
    <w:rsid w:val="00C14685"/>
    <w:rsid w:val="00C21709"/>
    <w:rsid w:val="00C31C73"/>
    <w:rsid w:val="00C31C8D"/>
    <w:rsid w:val="00C431C9"/>
    <w:rsid w:val="00C513CB"/>
    <w:rsid w:val="00C51A36"/>
    <w:rsid w:val="00C548BE"/>
    <w:rsid w:val="00C55228"/>
    <w:rsid w:val="00C619C1"/>
    <w:rsid w:val="00C62031"/>
    <w:rsid w:val="00C67E19"/>
    <w:rsid w:val="00C67E47"/>
    <w:rsid w:val="00C70C21"/>
    <w:rsid w:val="00C7188F"/>
    <w:rsid w:val="00C71E85"/>
    <w:rsid w:val="00C73DEB"/>
    <w:rsid w:val="00C750BE"/>
    <w:rsid w:val="00C76A3E"/>
    <w:rsid w:val="00C773BA"/>
    <w:rsid w:val="00C80205"/>
    <w:rsid w:val="00C85E49"/>
    <w:rsid w:val="00C86F9B"/>
    <w:rsid w:val="00C87FEE"/>
    <w:rsid w:val="00C90930"/>
    <w:rsid w:val="00C920A9"/>
    <w:rsid w:val="00C93340"/>
    <w:rsid w:val="00C9447D"/>
    <w:rsid w:val="00C96CD5"/>
    <w:rsid w:val="00CB0154"/>
    <w:rsid w:val="00CB0D49"/>
    <w:rsid w:val="00CB127F"/>
    <w:rsid w:val="00CB1FBC"/>
    <w:rsid w:val="00CB260B"/>
    <w:rsid w:val="00CB3729"/>
    <w:rsid w:val="00CB43FE"/>
    <w:rsid w:val="00CC0969"/>
    <w:rsid w:val="00CC2A01"/>
    <w:rsid w:val="00CC3BF9"/>
    <w:rsid w:val="00CC4D84"/>
    <w:rsid w:val="00CD1037"/>
    <w:rsid w:val="00CD394A"/>
    <w:rsid w:val="00CD68C2"/>
    <w:rsid w:val="00CD6C83"/>
    <w:rsid w:val="00CD6E0D"/>
    <w:rsid w:val="00CE0AA5"/>
    <w:rsid w:val="00CE2A9E"/>
    <w:rsid w:val="00CE2DBB"/>
    <w:rsid w:val="00CE315A"/>
    <w:rsid w:val="00CE4B8A"/>
    <w:rsid w:val="00CE6BF9"/>
    <w:rsid w:val="00CE7BE1"/>
    <w:rsid w:val="00CF147A"/>
    <w:rsid w:val="00CF1726"/>
    <w:rsid w:val="00CF37D8"/>
    <w:rsid w:val="00CF5473"/>
    <w:rsid w:val="00CF6C5C"/>
    <w:rsid w:val="00D004F0"/>
    <w:rsid w:val="00D0368C"/>
    <w:rsid w:val="00D04E45"/>
    <w:rsid w:val="00D06F59"/>
    <w:rsid w:val="00D071AB"/>
    <w:rsid w:val="00D13453"/>
    <w:rsid w:val="00D274D0"/>
    <w:rsid w:val="00D3392D"/>
    <w:rsid w:val="00D379ED"/>
    <w:rsid w:val="00D37D1B"/>
    <w:rsid w:val="00D41F5E"/>
    <w:rsid w:val="00D4235F"/>
    <w:rsid w:val="00D429D7"/>
    <w:rsid w:val="00D42D53"/>
    <w:rsid w:val="00D548EE"/>
    <w:rsid w:val="00D55E69"/>
    <w:rsid w:val="00D562F6"/>
    <w:rsid w:val="00D74FBF"/>
    <w:rsid w:val="00D75463"/>
    <w:rsid w:val="00D75EFF"/>
    <w:rsid w:val="00D80770"/>
    <w:rsid w:val="00D83050"/>
    <w:rsid w:val="00D8388C"/>
    <w:rsid w:val="00D97182"/>
    <w:rsid w:val="00DA0DF0"/>
    <w:rsid w:val="00DA657E"/>
    <w:rsid w:val="00DB2382"/>
    <w:rsid w:val="00DB756E"/>
    <w:rsid w:val="00DC2968"/>
    <w:rsid w:val="00DC330A"/>
    <w:rsid w:val="00DC76E5"/>
    <w:rsid w:val="00DD10DC"/>
    <w:rsid w:val="00DD1C8E"/>
    <w:rsid w:val="00DD1D21"/>
    <w:rsid w:val="00DD48B3"/>
    <w:rsid w:val="00DE146D"/>
    <w:rsid w:val="00DE2D80"/>
    <w:rsid w:val="00DE33EC"/>
    <w:rsid w:val="00DE6FCE"/>
    <w:rsid w:val="00DF27ED"/>
    <w:rsid w:val="00DF3712"/>
    <w:rsid w:val="00DF6570"/>
    <w:rsid w:val="00DF76DB"/>
    <w:rsid w:val="00DF7D02"/>
    <w:rsid w:val="00E01EE2"/>
    <w:rsid w:val="00E02CC9"/>
    <w:rsid w:val="00E03405"/>
    <w:rsid w:val="00E038E4"/>
    <w:rsid w:val="00E03E91"/>
    <w:rsid w:val="00E0521C"/>
    <w:rsid w:val="00E11CD7"/>
    <w:rsid w:val="00E13D9A"/>
    <w:rsid w:val="00E14BA9"/>
    <w:rsid w:val="00E2085D"/>
    <w:rsid w:val="00E221C3"/>
    <w:rsid w:val="00E32D13"/>
    <w:rsid w:val="00E34F47"/>
    <w:rsid w:val="00E352EE"/>
    <w:rsid w:val="00E420B7"/>
    <w:rsid w:val="00E43822"/>
    <w:rsid w:val="00E54035"/>
    <w:rsid w:val="00E5717A"/>
    <w:rsid w:val="00E62996"/>
    <w:rsid w:val="00E63714"/>
    <w:rsid w:val="00E64A51"/>
    <w:rsid w:val="00E64CB9"/>
    <w:rsid w:val="00E676F9"/>
    <w:rsid w:val="00E7279B"/>
    <w:rsid w:val="00E74608"/>
    <w:rsid w:val="00E84C02"/>
    <w:rsid w:val="00E90BBC"/>
    <w:rsid w:val="00E90C62"/>
    <w:rsid w:val="00E910C0"/>
    <w:rsid w:val="00E95637"/>
    <w:rsid w:val="00E97424"/>
    <w:rsid w:val="00EA04FF"/>
    <w:rsid w:val="00EA55F7"/>
    <w:rsid w:val="00EB0164"/>
    <w:rsid w:val="00EB5DF5"/>
    <w:rsid w:val="00EB65F7"/>
    <w:rsid w:val="00EB7607"/>
    <w:rsid w:val="00EC3DBA"/>
    <w:rsid w:val="00EC42F5"/>
    <w:rsid w:val="00EC6620"/>
    <w:rsid w:val="00ED0F62"/>
    <w:rsid w:val="00ED77D9"/>
    <w:rsid w:val="00ED7F2E"/>
    <w:rsid w:val="00EE5CD9"/>
    <w:rsid w:val="00EE6713"/>
    <w:rsid w:val="00EE71F4"/>
    <w:rsid w:val="00EF29B6"/>
    <w:rsid w:val="00EF36E7"/>
    <w:rsid w:val="00F05FB7"/>
    <w:rsid w:val="00F06B25"/>
    <w:rsid w:val="00F06D09"/>
    <w:rsid w:val="00F0731D"/>
    <w:rsid w:val="00F11201"/>
    <w:rsid w:val="00F115BF"/>
    <w:rsid w:val="00F14D99"/>
    <w:rsid w:val="00F14FBF"/>
    <w:rsid w:val="00F2038C"/>
    <w:rsid w:val="00F21382"/>
    <w:rsid w:val="00F25AFF"/>
    <w:rsid w:val="00F267F2"/>
    <w:rsid w:val="00F31E8A"/>
    <w:rsid w:val="00F32CB9"/>
    <w:rsid w:val="00F33729"/>
    <w:rsid w:val="00F3372A"/>
    <w:rsid w:val="00F35CD7"/>
    <w:rsid w:val="00F3666E"/>
    <w:rsid w:val="00F41ED6"/>
    <w:rsid w:val="00F44D4E"/>
    <w:rsid w:val="00F45A29"/>
    <w:rsid w:val="00F46C3F"/>
    <w:rsid w:val="00F47465"/>
    <w:rsid w:val="00F47508"/>
    <w:rsid w:val="00F47878"/>
    <w:rsid w:val="00F52928"/>
    <w:rsid w:val="00F55DB9"/>
    <w:rsid w:val="00F606E1"/>
    <w:rsid w:val="00F60CA3"/>
    <w:rsid w:val="00F6739D"/>
    <w:rsid w:val="00F75408"/>
    <w:rsid w:val="00F83639"/>
    <w:rsid w:val="00F840C3"/>
    <w:rsid w:val="00F856F5"/>
    <w:rsid w:val="00F8598C"/>
    <w:rsid w:val="00F956F5"/>
    <w:rsid w:val="00F95A9B"/>
    <w:rsid w:val="00F97087"/>
    <w:rsid w:val="00FA0833"/>
    <w:rsid w:val="00FA2467"/>
    <w:rsid w:val="00FA25E4"/>
    <w:rsid w:val="00FA2988"/>
    <w:rsid w:val="00FA350D"/>
    <w:rsid w:val="00FB03C3"/>
    <w:rsid w:val="00FB41F4"/>
    <w:rsid w:val="00FB5A65"/>
    <w:rsid w:val="00FB6C45"/>
    <w:rsid w:val="00FC01AB"/>
    <w:rsid w:val="00FC4F9E"/>
    <w:rsid w:val="00FD2556"/>
    <w:rsid w:val="00FD2869"/>
    <w:rsid w:val="00FD3F5E"/>
    <w:rsid w:val="00FD5EE5"/>
    <w:rsid w:val="00FD72A6"/>
    <w:rsid w:val="00FE09C9"/>
    <w:rsid w:val="00FE1887"/>
    <w:rsid w:val="00FE3DB1"/>
    <w:rsid w:val="00FE4EA8"/>
    <w:rsid w:val="108219C2"/>
    <w:rsid w:val="3D011B67"/>
    <w:rsid w:val="5EA12B9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2"/>
    <w:basedOn w:val="1"/>
    <w:next w:val="1"/>
    <w:link w:val="19"/>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2">
    <w:name w:val="Default Paragraph Font"/>
    <w:semiHidden/>
    <w:unhideWhenUsed/>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Normal Indent"/>
    <w:basedOn w:val="1"/>
    <w:qFormat/>
    <w:uiPriority w:val="0"/>
    <w:pPr>
      <w:adjustRightInd w:val="0"/>
      <w:spacing w:line="360" w:lineRule="atLeast"/>
      <w:ind w:left="480"/>
      <w:textAlignment w:val="baseline"/>
    </w:pPr>
    <w:rPr>
      <w:kern w:val="0"/>
    </w:rPr>
  </w:style>
  <w:style w:type="paragraph" w:styleId="4">
    <w:name w:val="Body Text"/>
    <w:basedOn w:val="1"/>
    <w:link w:val="20"/>
    <w:unhideWhenUsed/>
    <w:qFormat/>
    <w:uiPriority w:val="99"/>
    <w:pPr>
      <w:spacing w:line="420" w:lineRule="exact"/>
    </w:pPr>
    <w:rPr>
      <w:sz w:val="24"/>
    </w:rPr>
  </w:style>
  <w:style w:type="paragraph" w:styleId="5">
    <w:name w:val="Plain Text"/>
    <w:basedOn w:val="1"/>
    <w:link w:val="22"/>
    <w:qFormat/>
    <w:uiPriority w:val="0"/>
    <w:rPr>
      <w:rFonts w:ascii="宋体" w:hAnsi="Courier New"/>
    </w:rPr>
  </w:style>
  <w:style w:type="paragraph" w:styleId="6">
    <w:name w:val="Balloon Text"/>
    <w:basedOn w:val="1"/>
    <w:link w:val="15"/>
    <w:semiHidden/>
    <w:unhideWhenUsed/>
    <w:qFormat/>
    <w:uiPriority w:val="99"/>
    <w:rPr>
      <w:sz w:val="18"/>
      <w:szCs w:val="18"/>
    </w:rPr>
  </w:style>
  <w:style w:type="paragraph" w:styleId="7">
    <w:name w:val="footer"/>
    <w:basedOn w:val="1"/>
    <w:link w:val="14"/>
    <w:unhideWhenUsed/>
    <w:uiPriority w:val="99"/>
    <w:pPr>
      <w:tabs>
        <w:tab w:val="center" w:pos="4153"/>
        <w:tab w:val="right" w:pos="8306"/>
      </w:tabs>
      <w:snapToGrid w:val="0"/>
      <w:jc w:val="left"/>
    </w:pPr>
    <w:rPr>
      <w:sz w:val="18"/>
      <w:szCs w:val="18"/>
    </w:rPr>
  </w:style>
  <w:style w:type="paragraph" w:styleId="8">
    <w:name w:val="header"/>
    <w:basedOn w:val="1"/>
    <w:link w:val="13"/>
    <w:unhideWhenUsed/>
    <w:uiPriority w:val="99"/>
    <w:pPr>
      <w:pBdr>
        <w:bottom w:val="single" w:color="auto" w:sz="6" w:space="1"/>
      </w:pBdr>
      <w:tabs>
        <w:tab w:val="center" w:pos="4153"/>
        <w:tab w:val="right" w:pos="8306"/>
      </w:tabs>
      <w:snapToGrid w:val="0"/>
      <w:jc w:val="center"/>
    </w:pPr>
    <w:rPr>
      <w:sz w:val="18"/>
      <w:szCs w:val="18"/>
    </w:rPr>
  </w:style>
  <w:style w:type="paragraph" w:styleId="9">
    <w:name w:val="Title"/>
    <w:basedOn w:val="1"/>
    <w:link w:val="23"/>
    <w:qFormat/>
    <w:uiPriority w:val="0"/>
    <w:pPr>
      <w:widowControl/>
      <w:jc w:val="center"/>
    </w:pPr>
    <w:rPr>
      <w:rFonts w:ascii="Book Antiqua" w:hAnsi="Book Antiqua"/>
      <w:b/>
      <w:kern w:val="0"/>
      <w:sz w:val="31"/>
      <w:szCs w:val="31"/>
      <w:u w:val="single"/>
      <w:lang w:eastAsia="en-US"/>
    </w:rPr>
  </w:style>
  <w:style w:type="table" w:styleId="11">
    <w:name w:val="Table Grid"/>
    <w:basedOn w:val="10"/>
    <w:qFormat/>
    <w:uiPriority w:val="5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3">
    <w:name w:val="页眉 Char"/>
    <w:basedOn w:val="12"/>
    <w:link w:val="8"/>
    <w:qFormat/>
    <w:uiPriority w:val="99"/>
    <w:rPr>
      <w:rFonts w:ascii="Times New Roman" w:hAnsi="Times New Roman" w:eastAsia="宋体" w:cs="Times New Roman"/>
      <w:sz w:val="18"/>
      <w:szCs w:val="18"/>
    </w:rPr>
  </w:style>
  <w:style w:type="character" w:customStyle="1" w:styleId="14">
    <w:name w:val="页脚 Char"/>
    <w:basedOn w:val="12"/>
    <w:link w:val="7"/>
    <w:uiPriority w:val="99"/>
    <w:rPr>
      <w:rFonts w:ascii="Times New Roman" w:hAnsi="Times New Roman" w:eastAsia="宋体" w:cs="Times New Roman"/>
      <w:sz w:val="18"/>
      <w:szCs w:val="18"/>
    </w:rPr>
  </w:style>
  <w:style w:type="character" w:customStyle="1" w:styleId="15">
    <w:name w:val="批注框文本 Char"/>
    <w:basedOn w:val="12"/>
    <w:link w:val="6"/>
    <w:semiHidden/>
    <w:qFormat/>
    <w:uiPriority w:val="99"/>
    <w:rPr>
      <w:rFonts w:ascii="Times New Roman" w:hAnsi="Times New Roman" w:eastAsia="宋体" w:cs="Times New Roman"/>
      <w:sz w:val="18"/>
      <w:szCs w:val="18"/>
    </w:rPr>
  </w:style>
  <w:style w:type="character" w:customStyle="1" w:styleId="16">
    <w:name w:val="Char Char1"/>
    <w:qFormat/>
    <w:locked/>
    <w:uiPriority w:val="0"/>
    <w:rPr>
      <w:rFonts w:hint="eastAsia" w:ascii="宋体" w:hAnsi="Courier New" w:eastAsia="宋体"/>
      <w:kern w:val="2"/>
      <w:sz w:val="21"/>
      <w:lang w:val="en-US" w:eastAsia="zh-CN" w:bidi="ar-SA"/>
    </w:rPr>
  </w:style>
  <w:style w:type="character" w:customStyle="1" w:styleId="17">
    <w:name w:val="fontstyle01"/>
    <w:basedOn w:val="12"/>
    <w:uiPriority w:val="0"/>
    <w:rPr>
      <w:rFonts w:hint="eastAsia" w:ascii="宋体" w:hAnsi="宋体" w:eastAsia="宋体"/>
      <w:color w:val="000000"/>
      <w:sz w:val="24"/>
      <w:szCs w:val="24"/>
    </w:rPr>
  </w:style>
  <w:style w:type="character" w:customStyle="1" w:styleId="18">
    <w:name w:val="fontstyle21"/>
    <w:basedOn w:val="12"/>
    <w:uiPriority w:val="0"/>
    <w:rPr>
      <w:rFonts w:hint="default" w:ascii="Times New Roman" w:hAnsi="Times New Roman" w:cs="Times New Roman"/>
      <w:color w:val="000000"/>
      <w:sz w:val="24"/>
      <w:szCs w:val="24"/>
    </w:rPr>
  </w:style>
  <w:style w:type="character" w:customStyle="1" w:styleId="19">
    <w:name w:val="标题 2 Char"/>
    <w:basedOn w:val="12"/>
    <w:link w:val="2"/>
    <w:uiPriority w:val="9"/>
    <w:rPr>
      <w:rFonts w:asciiTheme="majorHAnsi" w:hAnsiTheme="majorHAnsi" w:eastAsiaTheme="majorEastAsia" w:cstheme="majorBidi"/>
      <w:b/>
      <w:bCs/>
      <w:kern w:val="2"/>
      <w:sz w:val="32"/>
      <w:szCs w:val="32"/>
    </w:rPr>
  </w:style>
  <w:style w:type="character" w:customStyle="1" w:styleId="20">
    <w:name w:val="正文文本 Char"/>
    <w:basedOn w:val="12"/>
    <w:link w:val="4"/>
    <w:uiPriority w:val="99"/>
    <w:rPr>
      <w:rFonts w:ascii="Times New Roman" w:hAnsi="Times New Roman" w:eastAsia="宋体" w:cs="Times New Roman"/>
      <w:kern w:val="2"/>
      <w:sz w:val="24"/>
    </w:rPr>
  </w:style>
  <w:style w:type="paragraph" w:customStyle="1" w:styleId="21">
    <w:name w:val="表格文字"/>
    <w:basedOn w:val="1"/>
    <w:qFormat/>
    <w:uiPriority w:val="0"/>
    <w:pPr>
      <w:spacing w:before="25" w:after="25"/>
    </w:pPr>
    <w:rPr>
      <w:bCs/>
      <w:spacing w:val="10"/>
    </w:rPr>
  </w:style>
  <w:style w:type="character" w:customStyle="1" w:styleId="22">
    <w:name w:val="纯文本 Char"/>
    <w:basedOn w:val="12"/>
    <w:link w:val="5"/>
    <w:qFormat/>
    <w:uiPriority w:val="0"/>
    <w:rPr>
      <w:rFonts w:ascii="宋体" w:hAnsi="Courier New" w:eastAsia="宋体" w:cs="Times New Roman"/>
      <w:kern w:val="2"/>
      <w:sz w:val="21"/>
    </w:rPr>
  </w:style>
  <w:style w:type="character" w:customStyle="1" w:styleId="23">
    <w:name w:val="标题 Char"/>
    <w:basedOn w:val="12"/>
    <w:link w:val="9"/>
    <w:uiPriority w:val="0"/>
    <w:rPr>
      <w:rFonts w:ascii="Book Antiqua" w:hAnsi="Book Antiqua" w:eastAsia="宋体" w:cs="Times New Roman"/>
      <w:b/>
      <w:sz w:val="31"/>
      <w:szCs w:val="31"/>
      <w:u w:val="single"/>
      <w:lang w:eastAsia="en-US"/>
    </w:rPr>
  </w:style>
  <w:style w:type="paragraph" w:styleId="24">
    <w:name w:val="List Paragraph"/>
    <w:basedOn w:val="1"/>
    <w:unhideWhenUsed/>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3855C77-60A2-4F0F-909E-48161EBFF83F}">
  <ds:schemaRefs/>
</ds:datastoreItem>
</file>

<file path=docProps/app.xml><?xml version="1.0" encoding="utf-8"?>
<Properties xmlns="http://schemas.openxmlformats.org/officeDocument/2006/extended-properties" xmlns:vt="http://schemas.openxmlformats.org/officeDocument/2006/docPropsVTypes">
  <Template>Normal.dotm</Template>
  <Pages>16</Pages>
  <Words>1357</Words>
  <Characters>7739</Characters>
  <Lines>64</Lines>
  <Paragraphs>18</Paragraphs>
  <TotalTime>2698</TotalTime>
  <ScaleCrop>false</ScaleCrop>
  <LinksUpToDate>false</LinksUpToDate>
  <CharactersWithSpaces>9078</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小小</cp:lastModifiedBy>
  <dcterms:modified xsi:type="dcterms:W3CDTF">2020-04-17T00:59:14Z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