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张艳辉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 w:cs="楷体"/>
                <w:sz w:val="24"/>
              </w:rPr>
              <w:t>聂斌华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2020.4.3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宋体" w:hAnsi="宋体" w:cs="Arial"/>
                <w:szCs w:val="21"/>
              </w:rPr>
              <w:t>E/OMS: 5.3</w:t>
            </w:r>
            <w:r>
              <w:rPr>
                <w:rFonts w:hint="eastAsia" w:ascii="宋体" w:hAnsi="宋体" w:cs="Arial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hint="eastAsia" w:ascii="宋体" w:hAnsi="宋体" w:cs="Arial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Cs w:val="21"/>
              </w:rPr>
              <w:t>6.1.2</w:t>
            </w: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危险源辨识与评价、</w:t>
            </w:r>
            <w:r>
              <w:rPr>
                <w:rFonts w:ascii="宋体" w:hAnsi="宋体" w:cs="Arial"/>
                <w:szCs w:val="21"/>
              </w:rPr>
              <w:t>8.1</w:t>
            </w:r>
            <w:r>
              <w:rPr>
                <w:rFonts w:hint="eastAsia" w:ascii="宋体" w:hAnsi="宋体" w:cs="Arial"/>
                <w:szCs w:val="21"/>
              </w:rPr>
              <w:t>运行策划和控制、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hint="eastAsia" w:ascii="宋体" w:hAnsi="宋体" w:cs="Arial"/>
                <w:szCs w:val="21"/>
              </w:rPr>
              <w:t>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5.3</w:t>
            </w: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A.负责与顾客有关的过程控制；</w:t>
            </w:r>
            <w:bookmarkStart w:id="0" w:name="_Hlk509688918"/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本部门环境因素危险源的识别评价控制。</w:t>
            </w:r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B.负责顾客满意控制，负责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采购、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销售服务的控制；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C.负责顾客财产控制；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顾客满意率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≧</w:t>
            </w:r>
            <w:r>
              <w:rPr>
                <w:rFonts w:hint="eastAsia"/>
                <w:lang w:val="en-US" w:eastAsia="zh-CN"/>
              </w:rPr>
              <w:t>90%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相关方评定合格率100%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固废分类处置率100%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意外伤害为0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经查</w:t>
            </w:r>
            <w:r>
              <w:rPr>
                <w:rFonts w:ascii="宋体" w:hAnsi="宋体" w:cs="Arial"/>
                <w:szCs w:val="21"/>
              </w:rPr>
              <w:t>2019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年12月13日考核</w:t>
            </w:r>
            <w:r>
              <w:rPr>
                <w:rFonts w:hint="eastAsia" w:ascii="宋体" w:hAnsi="宋体" w:cs="Arial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查销售部的“环境因素识别评价汇总表”，识别了本部门在办公、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   </w:t>
            </w: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bookmarkStart w:id="1" w:name="_GoBack"/>
            <w:bookmarkEnd w:id="1"/>
            <w:r>
              <w:rPr>
                <w:rFonts w:hint="eastAsia" w:ascii="宋体" w:hAnsi="宋体" w:cs="楷体"/>
                <w:szCs w:val="21"/>
              </w:rPr>
              <w:t>部的“危险源识别及风险评价表”，识别了电脑辐射、办公电器漏电触电、运输汽车事故等危险源。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查《不可接受风险清单》，涉及本部门的不可接受风险，包括：触电、火灾</w:t>
            </w:r>
            <w:r>
              <w:rPr>
                <w:rFonts w:hint="eastAsia" w:ascii="宋体" w:hAnsi="宋体" w:cs="楷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意外伤害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编制并实施了环境、职业健康安全控制程序和管理制度。</w:t>
            </w:r>
          </w:p>
          <w:p>
            <w:pPr>
              <w:spacing w:line="360" w:lineRule="auto"/>
              <w:rPr>
                <w:sz w:val="20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sz w:val="20"/>
              </w:rPr>
              <w:t>智能密集架、书架、寄存柜、枪弹柜、数字化档案馆、城市公交自行车智能管理系统的开发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2019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邹然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5、火灾控制：学习火灾应急预案，参加火灾应急演练，工作中人走随时关闭电器，会使用消防器材，熟知消防通道。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6、意外伤害控制：外出遵守交通规则，到企业时要遵守规章制度，防止意外伤害的发生。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8.2</w:t>
            </w:r>
          </w:p>
        </w:tc>
        <w:tc>
          <w:tcPr>
            <w:tcW w:w="10004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触电、高温中暑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应急预案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见：《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预案演练记录》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演练时间 ：2019年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演练地点：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演练部门：全体部门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和员工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演练总指挥：总经理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预案演练记录》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演练时间 ：2019年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演练地点：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演练部门：全体部门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和员工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演练总指挥：总经理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参加人员各部门部长。过程记录详细。</w:t>
            </w:r>
          </w:p>
          <w:p>
            <w:pPr>
              <w:pStyle w:val="14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演练中不但讲解了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FDC17A"/>
    <w:multiLevelType w:val="singleLevel"/>
    <w:tmpl w:val="BAFDC1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108219C2"/>
    <w:rsid w:val="346E3029"/>
    <w:rsid w:val="34D90476"/>
    <w:rsid w:val="47621E53"/>
    <w:rsid w:val="5EA12B9A"/>
    <w:rsid w:val="5EF23309"/>
    <w:rsid w:val="6BA11838"/>
    <w:rsid w:val="7406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2</TotalTime>
  <ScaleCrop>false</ScaleCrop>
  <LinksUpToDate>false</LinksUpToDate>
  <CharactersWithSpaces>3628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小小</cp:lastModifiedBy>
  <dcterms:modified xsi:type="dcterms:W3CDTF">2020-04-17T01:56:15Z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