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30670-2023-EnMS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江苏帅雅服饰有限公司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杨明，王琳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ISC-JSZJ-733</w:t>
            </w:r>
          </w:p>
          <w:p w:rsidR="00A824E9">
            <w:pPr>
              <w:spacing w:line="360" w:lineRule="exact"/>
              <w:jc w:val="center"/>
              <w:rPr>
                <w:b/>
                <w:szCs w:val="21"/>
              </w:rPr>
            </w:pPr>
            <w:r>
              <w:rPr>
                <w:b/>
                <w:szCs w:val="21"/>
              </w:rPr>
              <w:t>江苏华腾制衣有限公司</w:t>
            </w:r>
          </w:p>
        </w:tc>
        <w:tc>
          <w:tcPr>
            <w:tcW w:w="3145" w:type="dxa"/>
            <w:vAlign w:val="center"/>
          </w:tcPr>
          <w:p w:rsidR="00A824E9">
            <w:pPr>
              <w:spacing w:line="360" w:lineRule="exact"/>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2023年11月13日 上午至2023年11月14日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扬中市油坊镇解放村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江苏省扬中市油坊镇工业园区创业路8号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