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0122-2020-Q</w:t>
      </w:r>
      <w:bookmarkEnd w:id="0"/>
    </w:p>
    <w:p>
      <w:pPr>
        <w:snapToGrid w:val="0"/>
        <w:spacing w:afterLines="30"/>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0"/>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重庆市荣岳橡胶制品有限公司</w:t>
      </w:r>
      <w:bookmarkEnd w:id="1"/>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themeColor="text1"/>
                <w:sz w:val="20"/>
                <w:szCs w:val="20"/>
              </w:rPr>
              <w:t>张心</w:t>
            </w:r>
          </w:p>
        </w:tc>
        <w:tc>
          <w:tcPr>
            <w:tcW w:w="851" w:type="dxa"/>
            <w:gridSpan w:val="2"/>
            <w:vAlign w:val="center"/>
          </w:tcPr>
          <w:p>
            <w:pPr>
              <w:spacing w:line="240" w:lineRule="exact"/>
              <w:jc w:val="center"/>
              <w:rPr>
                <w:b/>
                <w:color w:val="000000"/>
                <w:sz w:val="20"/>
                <w:szCs w:val="20"/>
              </w:rPr>
            </w:pPr>
            <w:r>
              <w:rPr>
                <w:b/>
                <w:color w:val="000000" w:themeColor="text1"/>
                <w:sz w:val="20"/>
                <w:szCs w:val="20"/>
              </w:rPr>
              <w:t>组长</w:t>
            </w:r>
          </w:p>
        </w:tc>
        <w:tc>
          <w:tcPr>
            <w:tcW w:w="1417" w:type="dxa"/>
            <w:gridSpan w:val="2"/>
            <w:vAlign w:val="center"/>
          </w:tcPr>
          <w:p>
            <w:pPr>
              <w:spacing w:line="240" w:lineRule="exact"/>
              <w:jc w:val="center"/>
              <w:rPr>
                <w:b/>
                <w:color w:val="000000"/>
                <w:sz w:val="20"/>
                <w:szCs w:val="20"/>
              </w:rPr>
            </w:pPr>
            <w:r>
              <w:rPr>
                <w:b/>
                <w:color w:val="000000" w:themeColor="text1"/>
                <w:sz w:val="20"/>
                <w:szCs w:val="20"/>
              </w:rPr>
              <w:t>女</w:t>
            </w:r>
          </w:p>
        </w:tc>
        <w:tc>
          <w:tcPr>
            <w:tcW w:w="3402" w:type="dxa"/>
            <w:gridSpan w:val="5"/>
            <w:vAlign w:val="center"/>
          </w:tcPr>
          <w:p>
            <w:pPr>
              <w:spacing w:line="240" w:lineRule="exact"/>
              <w:jc w:val="center"/>
              <w:rPr>
                <w:b/>
                <w:color w:val="000000"/>
                <w:sz w:val="20"/>
                <w:szCs w:val="20"/>
              </w:rPr>
            </w:pPr>
            <w:r>
              <w:rPr>
                <w:b/>
                <w:color w:val="000000" w:themeColor="text1"/>
                <w:sz w:val="20"/>
                <w:szCs w:val="20"/>
              </w:rPr>
              <w:t>审核员</w:t>
            </w:r>
          </w:p>
        </w:tc>
        <w:tc>
          <w:tcPr>
            <w:tcW w:w="2179" w:type="dxa"/>
            <w:gridSpan w:val="2"/>
            <w:vAlign w:val="center"/>
          </w:tcPr>
          <w:p>
            <w:pPr>
              <w:spacing w:line="240" w:lineRule="exact"/>
              <w:jc w:val="center"/>
              <w:rPr>
                <w:b/>
                <w:color w:val="000000"/>
                <w:sz w:val="20"/>
                <w:szCs w:val="20"/>
              </w:rPr>
            </w:pPr>
            <w:r>
              <w:rPr>
                <w:b/>
                <w:color w:val="000000" w:themeColor="text1"/>
                <w:sz w:val="20"/>
                <w:szCs w:val="20"/>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ascii="宋体" w:hAnsi="宋体"/>
          <w:b/>
          <w:color w:val="000000"/>
          <w:sz w:val="20"/>
          <w:szCs w:val="20"/>
        </w:rPr>
        <w:t>EMS/</w:t>
      </w:r>
      <w:r>
        <w:rPr>
          <w:rFonts w:hint="eastAsia" w:ascii="宋体" w:hAnsi="宋体"/>
          <w:snapToGrid w:val="0"/>
          <w:color w:val="000000"/>
          <w:kern w:val="0"/>
          <w:sz w:val="18"/>
          <w:szCs w:val="21"/>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1"/>
        </w:numPr>
        <w:rPr>
          <w:rFonts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重庆市荣岳橡胶制品有限公司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重庆市大渡口区八桥镇互助村二社</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400084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重庆市大渡口区八桥镇互助村二社</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400084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刘光奎</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023- 68934034</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刘光奎</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刘光奎</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橡胶制品的加工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14.01.02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u w:val="single"/>
        </w:rPr>
        <w:t>管理层、生技部、行政部、供销部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第一阶段远程审核问题清单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sz w:val="20"/>
                <w:szCs w:val="20"/>
              </w:rPr>
            </w:pPr>
            <w:r>
              <w:rPr>
                <w:rFonts w:hint="eastAsia" w:ascii="宋体" w:hAnsi="宋体"/>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MS Mincho" w:hAnsi="MS Mincho" w:eastAsia="MS Mincho" w:cs="MS Mincho"/>
                <w:color w:val="000000" w:themeColor="text1"/>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橡胶制品的加工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公司部门设置：行政部、生技部、供销部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质量管理部门：生技部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不在同一地址的部门(车间、仓库、销售部)有几个;无</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rPr>
                <w:rFonts w:ascii="宋体" w:hAnsi="宋体"/>
                <w:szCs w:val="21"/>
              </w:rPr>
            </w:pPr>
            <w:r>
              <w:rPr>
                <w:rFonts w:hint="eastAsia" w:ascii="宋体" w:hAnsi="宋体"/>
                <w:color w:val="000000"/>
                <w:sz w:val="20"/>
                <w:szCs w:val="20"/>
              </w:rPr>
              <w:t>受审核方位于：</w:t>
            </w:r>
            <w:r>
              <w:rPr>
                <w:rFonts w:hint="eastAsia"/>
                <w:b/>
                <w:szCs w:val="21"/>
                <w:u w:val="single"/>
              </w:rPr>
              <w:t>经营地址1:</w:t>
            </w:r>
            <w:r>
              <w:rPr>
                <w:rFonts w:ascii="宋体"/>
                <w:b/>
                <w:color w:val="000000"/>
                <w:sz w:val="20"/>
                <w:szCs w:val="20"/>
              </w:rPr>
              <w:t>重庆市大渡口区八桥镇互助村二社</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p>
          <w:p>
            <w:pPr>
              <w:tabs>
                <w:tab w:val="left" w:pos="360"/>
              </w:tabs>
              <w:ind w:left="357" w:hanging="357"/>
              <w:rPr>
                <w:rFonts w:ascii="宋体" w:hAnsi="宋体"/>
                <w:color w:val="0000FF"/>
                <w:sz w:val="20"/>
                <w:szCs w:val="20"/>
              </w:rPr>
            </w:pPr>
            <w:r>
              <w:rPr>
                <w:rFonts w:hint="eastAsia" w:ascii="宋体" w:hAnsi="宋体"/>
                <w:color w:val="000000"/>
                <w:sz w:val="20"/>
                <w:szCs w:val="20"/>
              </w:rPr>
              <w:t>其使用的建筑设施是：□自建办公用房    □自建厂房   □租用办公用房</w:t>
            </w:r>
            <w:r>
              <w:rPr>
                <w:rFonts w:hint="eastAsia" w:ascii="宋体" w:hAnsi="宋体"/>
                <w:sz w:val="20"/>
                <w:szCs w:val="20"/>
              </w:rPr>
              <w:t xml:space="preserve"> ☑租用厂房</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受审核方是否属于高风险地区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核实受审核方管理体系覆盖的查产品范围与组织运作情况是否一致；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组织产品与申请范围是否一致：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w:t>
            </w:r>
            <w:r>
              <w:rPr>
                <w:rFonts w:hint="eastAsia" w:ascii="宋体"/>
                <w:sz w:val="20"/>
                <w:szCs w:val="20"/>
              </w:rPr>
              <w:t xml:space="preserve">式：☑白班生产 </w:t>
            </w:r>
            <w:r>
              <w:rPr>
                <w:rFonts w:hint="eastAsia" w:ascii="宋体"/>
                <w:color w:val="0000FF"/>
                <w:sz w:val="20"/>
                <w:szCs w:val="20"/>
              </w:rPr>
              <w:t xml:space="preserve">     </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生产许可证是否有效：□是□否☑不适用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ascii="宋体" w:hAnsi="宋体"/>
                <w:sz w:val="20"/>
                <w:szCs w:val="20"/>
              </w:rPr>
            </w:pPr>
            <w:r>
              <w:rPr>
                <w:rFonts w:hint="eastAsia" w:ascii="宋体" w:hAnsi="宋体"/>
                <w:color w:val="000000"/>
                <w:sz w:val="20"/>
                <w:szCs w:val="20"/>
              </w:rPr>
              <w:t>□产品技术标准号</w:t>
            </w:r>
            <w:r>
              <w:rPr>
                <w:rFonts w:hint="eastAsia" w:ascii="宋体" w:hAnsi="宋体"/>
                <w:sz w:val="20"/>
                <w:szCs w:val="20"/>
              </w:rPr>
              <w:t>：</w:t>
            </w:r>
            <w:r>
              <w:rPr>
                <w:rFonts w:hint="eastAsia" w:ascii="宋体" w:hAnsi="宋体"/>
                <w:szCs w:val="21"/>
              </w:rPr>
              <w:t>硫化橡胶或热塑性橡胶硬度的测定(10 IRHD-100 IRHD)GB T 6031-2017、橡胶防老剂、硫化促进剂 表观密度的测定GB/T11409.6-2003、硬质橡胶硬度的测定GB/T 1698-2003</w:t>
            </w:r>
          </w:p>
          <w:p>
            <w:pPr>
              <w:ind w:left="-1" w:leftChars="-1" w:hanging="1"/>
              <w:jc w:val="left"/>
              <w:rPr>
                <w:rFonts w:ascii="宋体"/>
                <w:color w:val="000000"/>
                <w:spacing w:val="-10"/>
                <w:sz w:val="20"/>
                <w:szCs w:val="20"/>
              </w:rPr>
            </w:pP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ascii="宋体" w:hAnsi="宋体"/>
                <w:sz w:val="20"/>
                <w:szCs w:val="20"/>
              </w:rPr>
            </w:pPr>
            <w:r>
              <w:rPr>
                <w:rFonts w:hint="eastAsia" w:ascii="宋体" w:hAnsi="宋体"/>
                <w:sz w:val="20"/>
                <w:szCs w:val="20"/>
              </w:rPr>
              <w:t>组织是否有产品检验报告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ascii="宋体" w:hAnsi="宋体"/>
                <w:sz w:val="20"/>
                <w:szCs w:val="20"/>
              </w:rPr>
            </w:pPr>
            <w:r>
              <w:rPr>
                <w:rFonts w:hint="eastAsia" w:ascii="宋体" w:hAnsi="宋体"/>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extAlignment w:val="baseline"/>
              <w:rPr>
                <w:rFonts w:ascii="宋体"/>
                <w:color w:val="000000"/>
                <w:sz w:val="20"/>
                <w:szCs w:val="20"/>
              </w:rPr>
            </w:pPr>
            <w:r>
              <w:rPr>
                <w:rFonts w:hint="eastAsia" w:ascii="宋体" w:hAnsi="宋体"/>
                <w:szCs w:val="22"/>
              </w:rPr>
              <w:t>采购—配料—炼胶—下料—硫化成型——修边——检验——包装入库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spacing w:val="-10"/>
                <w:sz w:val="20"/>
                <w:szCs w:val="20"/>
              </w:rPr>
            </w:pPr>
            <w:r>
              <w:rPr>
                <w:rFonts w:hint="eastAsia" w:ascii="宋体" w:hAnsi="宋体"/>
                <w:spacing w:val="-10"/>
                <w:sz w:val="20"/>
                <w:szCs w:val="20"/>
              </w:rPr>
              <w:t>关键过程有：炼胶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ascii="宋体" w:hAnsi="宋体"/>
                <w:spacing w:val="-10"/>
                <w:sz w:val="20"/>
                <w:szCs w:val="20"/>
              </w:rPr>
            </w:pPr>
            <w:r>
              <w:rPr>
                <w:rFonts w:hint="eastAsia" w:ascii="宋体" w:hAnsi="宋体"/>
                <w:spacing w:val="-10"/>
                <w:sz w:val="20"/>
                <w:szCs w:val="20"/>
              </w:rPr>
              <w:t>需要确认过程：硫化成型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spacing w:val="-10"/>
                <w:sz w:val="20"/>
                <w:szCs w:val="20"/>
              </w:rPr>
            </w:pPr>
            <w:r>
              <w:rPr>
                <w:rFonts w:hint="eastAsia" w:ascii="宋体" w:hAnsi="宋体"/>
                <w:color w:val="000000" w:themeColor="text1"/>
                <w:spacing w:val="-1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spacing w:val="-10"/>
                <w:sz w:val="20"/>
                <w:szCs w:val="20"/>
              </w:rPr>
              <w:t>：</w:t>
            </w:r>
            <w:r>
              <w:rPr>
                <w:rFonts w:hint="eastAsia" w:ascii="宋体" w:hAnsi="宋体"/>
                <w:szCs w:val="21"/>
              </w:rPr>
              <w:t>电脑及办公设备、密炼机、开炼机、切胶机、平板硫化机、真空硫化机等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spacing w:val="-10"/>
                <w:sz w:val="20"/>
                <w:szCs w:val="20"/>
              </w:rPr>
            </w:pPr>
            <w:r>
              <w:rPr>
                <w:rFonts w:hint="eastAsia" w:ascii="宋体" w:hAnsi="宋体"/>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spacing w:val="-10"/>
                <w:sz w:val="20"/>
                <w:szCs w:val="20"/>
              </w:rPr>
            </w:pPr>
            <w:r>
              <w:rPr>
                <w:rFonts w:hint="eastAsia" w:ascii="宋体" w:hAnsi="宋体"/>
                <w:spacing w:val="-1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spacing w:val="-10"/>
                <w:sz w:val="20"/>
                <w:szCs w:val="20"/>
              </w:rPr>
            </w:pPr>
            <w:r>
              <w:rPr>
                <w:rFonts w:hint="eastAsia" w:ascii="宋体" w:hAnsi="宋体"/>
                <w:spacing w:val="-1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hAnsi="宋体"/>
                <w:spacing w:val="-10"/>
                <w:sz w:val="20"/>
                <w:szCs w:val="20"/>
              </w:rPr>
            </w:pPr>
            <w:r>
              <w:rPr>
                <w:rFonts w:hint="eastAsia" w:ascii="宋体" w:hAnsi="宋体"/>
                <w:spacing w:val="-10"/>
                <w:sz w:val="20"/>
                <w:szCs w:val="20"/>
              </w:rPr>
              <w:t>监视和测量设备（请简述主要监视和测量设备）：</w:t>
            </w:r>
            <w:r>
              <w:rPr>
                <w:rFonts w:hint="eastAsia" w:ascii="宋体" w:hAnsi="宋体"/>
                <w:szCs w:val="21"/>
              </w:rPr>
              <w:t>有硬度计、游标卡尺电子秤、微电脑拉力试验机等</w:t>
            </w:r>
            <w:r>
              <w:rPr>
                <w:rFonts w:hint="eastAsia" w:ascii="宋体" w:hAnsi="宋体"/>
                <w:spacing w:val="-1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检测设备是否满足要求              □是 ☑否（以上检具不能提供有效校验证书）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15</w:t>
            </w:r>
            <w:r>
              <w:rPr>
                <w:rFonts w:hint="eastAsia" w:ascii="宋体"/>
                <w:color w:val="000000"/>
                <w:sz w:val="20"/>
                <w:szCs w:val="20"/>
              </w:rPr>
              <w:t>人，其中管理人员：5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充分了解受审核方的管理体系和组织运作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仿宋" w:hAnsi="仿宋" w:eastAsia="仿宋"/>
                <w:sz w:val="24"/>
              </w:rPr>
              <w:t>建立有《内部审核控制程序》，于</w:t>
            </w:r>
            <w:r>
              <w:rPr>
                <w:rFonts w:hint="eastAsia"/>
                <w:szCs w:val="21"/>
              </w:rPr>
              <w:t>2020年3月20日</w:t>
            </w:r>
            <w:r>
              <w:rPr>
                <w:rFonts w:hint="eastAsia" w:ascii="仿宋" w:hAnsi="仿宋" w:eastAsia="仿宋"/>
                <w:sz w:val="24"/>
              </w:rPr>
              <w:t xml:space="preserve">进行了内部审核。内部审核组组成：组员宋国民（生技部）A 组长：王丽娟（行政部）B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仿宋" w:hAnsi="仿宋" w:eastAsia="仿宋"/>
                <w:sz w:val="24"/>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p>
            <w:pPr>
              <w:spacing w:line="340" w:lineRule="exact"/>
              <w:rPr>
                <w:rFonts w:ascii="仿宋" w:hAnsi="仿宋" w:eastAsia="仿宋"/>
                <w:sz w:val="24"/>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2020年3月28日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橡胶制品的加工</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pPr>
        <w:spacing w:line="300" w:lineRule="auto"/>
        <w:ind w:firstLine="201" w:firstLineChars="100"/>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1837690</wp:posOffset>
            </wp:positionH>
            <wp:positionV relativeFrom="paragraph">
              <wp:posOffset>251460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hAnsi="宋体"/>
          <w:b/>
          <w:color w:val="000000"/>
        </w:rPr>
      </w:pPr>
      <w:r>
        <w:rPr>
          <w:rFonts w:hint="eastAsia"/>
          <w:b/>
          <w:sz w:val="22"/>
          <w:szCs w:val="22"/>
        </w:rPr>
        <w:drawing>
          <wp:anchor distT="0" distB="0" distL="114300" distR="114300" simplePos="0" relativeHeight="251665408" behindDoc="0" locked="0" layoutInCell="1" allowOverlap="1">
            <wp:simplePos x="0" y="0"/>
            <wp:positionH relativeFrom="column">
              <wp:posOffset>1818640</wp:posOffset>
            </wp:positionH>
            <wp:positionV relativeFrom="paragraph">
              <wp:posOffset>20955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 xml:space="preserve">2020年04月13日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一阶段远程审核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由审核部与供销部协商解决。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第一阶段远程视频审核问题清单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受审核方：重庆市荣岳橡胶制品有限公司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检测设备拉力试验机不能提供有效校准证书。</w:t>
            </w: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tc>
        <w:tc>
          <w:tcPr>
            <w:tcW w:w="1905" w:type="dxa"/>
          </w:tcPr>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ISO9001:2015</w:t>
            </w: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tc>
        <w:tc>
          <w:tcPr>
            <w:tcW w:w="1800" w:type="dxa"/>
          </w:tcPr>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r>
              <w:rPr>
                <w:rFonts w:hint="eastAsia" w:ascii="宋体" w:hAnsi="宋体" w:cs="宋体"/>
                <w:sz w:val="21"/>
                <w:szCs w:val="21"/>
              </w:rPr>
              <w:t>7.1.5.2</w:t>
            </w: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p>
            <w:pPr>
              <w:pStyle w:val="4"/>
              <w:pBdr>
                <w:bottom w:val="none" w:color="auto" w:sz="0" w:space="0"/>
              </w:pBdr>
              <w:tabs>
                <w:tab w:val="center" w:pos="5737"/>
                <w:tab w:val="clear" w:pos="4153"/>
              </w:tabs>
              <w:ind w:firstLine="420" w:firstLineChars="20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一阶段远程审核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MS Mincho" w:hAnsi="MS Mincho" w:eastAsia="MS Mincho" w:cs="MS Mincho"/>
                <w:b/>
                <w:color w:val="000000"/>
                <w:spacing w:val="-10"/>
                <w:szCs w:val="21"/>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494665</wp:posOffset>
                  </wp:positionH>
                  <wp:positionV relativeFrom="paragraph">
                    <wp:posOffset>13335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   2020年4月 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              日期： 2020 年4月 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一阶段远程审核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ascii="MS Mincho" w:hAnsi="MS Mincho" w:eastAsia="MS Mincho" w:cs="MS Mincho"/>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73600" behindDoc="0" locked="0" layoutInCell="1" allowOverlap="1">
                  <wp:simplePos x="0" y="0"/>
                  <wp:positionH relativeFrom="column">
                    <wp:posOffset>523240</wp:posOffset>
                  </wp:positionH>
                  <wp:positionV relativeFrom="paragraph">
                    <wp:posOffset>224790</wp:posOffset>
                  </wp:positionV>
                  <wp:extent cx="422910" cy="320040"/>
                  <wp:effectExtent l="0" t="0" r="381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ascii="MS Mincho" w:hAnsi="MS Mincho" w:eastAsia="MS Mincho" w:cs="MS Mincho"/>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日期：020年 4 月  1</w:t>
            </w:r>
            <w:r>
              <w:rPr>
                <w:rFonts w:hint="eastAsia"/>
                <w:b/>
                <w:color w:val="000000"/>
                <w:sz w:val="22"/>
                <w:szCs w:val="22"/>
                <w:lang w:val="en-US" w:eastAsia="zh-CN"/>
              </w:rPr>
              <w:t>3</w:t>
            </w:r>
            <w:r>
              <w:rPr>
                <w:rFonts w:hint="eastAsia"/>
                <w:b/>
                <w:color w:val="000000"/>
                <w:sz w:val="22"/>
                <w:szCs w:val="22"/>
              </w:rPr>
              <w:t>日</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w w:val="90"/>
      </w:rPr>
      <w:t>Beijing International Standard united Certification Co.,Ltd.</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32FB"/>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86D4C"/>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D590A"/>
    <w:rsid w:val="008F59A4"/>
    <w:rsid w:val="00931B2C"/>
    <w:rsid w:val="009322A5"/>
    <w:rsid w:val="00933D2D"/>
    <w:rsid w:val="009365E1"/>
    <w:rsid w:val="00936C30"/>
    <w:rsid w:val="00966C26"/>
    <w:rsid w:val="009677FC"/>
    <w:rsid w:val="00976781"/>
    <w:rsid w:val="009D09B6"/>
    <w:rsid w:val="009E61EA"/>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4B57"/>
    <w:rsid w:val="00CA0B06"/>
    <w:rsid w:val="00CC5C6F"/>
    <w:rsid w:val="00CC7F51"/>
    <w:rsid w:val="00CD7479"/>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2984"/>
    <w:rsid w:val="00F769D3"/>
    <w:rsid w:val="00F9713E"/>
    <w:rsid w:val="00FA7152"/>
    <w:rsid w:val="00FE639C"/>
    <w:rsid w:val="03A83FA1"/>
    <w:rsid w:val="0B1F24B2"/>
    <w:rsid w:val="0C8275B4"/>
    <w:rsid w:val="0D26506B"/>
    <w:rsid w:val="0D2F36FA"/>
    <w:rsid w:val="0DEB1248"/>
    <w:rsid w:val="0F256DF2"/>
    <w:rsid w:val="0F6755B5"/>
    <w:rsid w:val="0FE035D6"/>
    <w:rsid w:val="111542FB"/>
    <w:rsid w:val="13905027"/>
    <w:rsid w:val="1B7C5D4F"/>
    <w:rsid w:val="1CB91E8D"/>
    <w:rsid w:val="1DB65754"/>
    <w:rsid w:val="1E9E0F00"/>
    <w:rsid w:val="201C41F5"/>
    <w:rsid w:val="21912F89"/>
    <w:rsid w:val="247B575F"/>
    <w:rsid w:val="2AF40DDA"/>
    <w:rsid w:val="2AF555A2"/>
    <w:rsid w:val="2CC023DC"/>
    <w:rsid w:val="307C7F54"/>
    <w:rsid w:val="30813B68"/>
    <w:rsid w:val="38306CFC"/>
    <w:rsid w:val="3D333694"/>
    <w:rsid w:val="3F2266C8"/>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2D838CB"/>
    <w:rsid w:val="640B1E0C"/>
    <w:rsid w:val="647F5BA5"/>
    <w:rsid w:val="656206D1"/>
    <w:rsid w:val="6AF45348"/>
    <w:rsid w:val="6BBB1423"/>
    <w:rsid w:val="6BF216D2"/>
    <w:rsid w:val="6C3949E6"/>
    <w:rsid w:val="6C4E4063"/>
    <w:rsid w:val="6C8B60DE"/>
    <w:rsid w:val="6CB121D3"/>
    <w:rsid w:val="6DB62D1B"/>
    <w:rsid w:val="701F7C21"/>
    <w:rsid w:val="74E06A6A"/>
    <w:rsid w:val="768934B1"/>
    <w:rsid w:val="772A727E"/>
    <w:rsid w:val="79DA1997"/>
    <w:rsid w:val="79F9314D"/>
    <w:rsid w:val="7B48571D"/>
    <w:rsid w:val="7B756E70"/>
    <w:rsid w:val="7CC77F18"/>
    <w:rsid w:val="7DB60024"/>
    <w:rsid w:val="7DDF7E2C"/>
    <w:rsid w:val="7EDF56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6177</Words>
  <Characters>1375</Characters>
  <Lines>11</Lines>
  <Paragraphs>15</Paragraphs>
  <TotalTime>7</TotalTime>
  <ScaleCrop>false</ScaleCrop>
  <LinksUpToDate>false</LinksUpToDate>
  <CharactersWithSpaces>7537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cp:lastPrinted>2020-04-13T05:57:00Z</cp:lastPrinted>
  <dcterms:modified xsi:type="dcterms:W3CDTF">2020-04-13T11:52:19Z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