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0647-2022-QEO-2023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山东世纪华创交通设施有限公司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赵庶娴</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张磊</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2022-N1QMS-2258213</w:t>
            </w:r>
          </w:p>
          <w:p w:rsidR="00F9189D">
            <w:pPr>
              <w:spacing w:line="360" w:lineRule="auto"/>
              <w:jc w:val="center"/>
              <w:rPr>
                <w:b/>
                <w:szCs w:val="21"/>
              </w:rPr>
            </w:pPr>
            <w:r>
              <w:rPr>
                <w:b/>
                <w:szCs w:val="21"/>
              </w:rPr>
              <w:t>2022-N1EMS-2258213</w:t>
            </w:r>
          </w:p>
          <w:p w:rsidR="00F9189D">
            <w:pPr>
              <w:spacing w:line="360" w:lineRule="auto"/>
              <w:jc w:val="center"/>
              <w:rPr>
                <w:b/>
                <w:szCs w:val="21"/>
              </w:rPr>
            </w:pPr>
            <w:r>
              <w:rPr>
                <w:b/>
                <w:szCs w:val="21"/>
              </w:rPr>
              <w:t>2023-N1OHSMS-2258213</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赵庶娴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2023-N1QMS-1284207</w:t>
            </w:r>
          </w:p>
          <w:p w:rsidR="00F9189D">
            <w:pPr>
              <w:spacing w:line="360" w:lineRule="auto"/>
              <w:jc w:val="center"/>
              <w:rPr>
                <w:b/>
                <w:szCs w:val="21"/>
              </w:rPr>
            </w:pPr>
            <w:r>
              <w:rPr>
                <w:b/>
                <w:szCs w:val="21"/>
              </w:rPr>
              <w:t>2023-N1EMS-1284207</w:t>
            </w:r>
          </w:p>
          <w:p w:rsidR="00F9189D">
            <w:pPr>
              <w:spacing w:line="360" w:lineRule="auto"/>
              <w:jc w:val="center"/>
              <w:rPr>
                <w:b/>
                <w:szCs w:val="21"/>
              </w:rPr>
            </w:pPr>
            <w:r>
              <w:rPr>
                <w:b/>
                <w:szCs w:val="21"/>
              </w:rPr>
              <w:t>2023-N1OHSMS-1284207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2023年11月05日 上午至2023年11月05日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中国(山东)自由贸易试验区济南片区山钢新天地9号楼611室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中国(山东)自由贸易试验区济南片区山钢新天地9号楼611室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