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szCs w:val="44"/>
          <w:u w:val="single"/>
        </w:rPr>
      </w:pPr>
      <w:r>
        <w:rPr>
          <w:rFonts w:hint="eastAsia"/>
          <w:lang w:val="en-US" w:eastAsia="zh-CN"/>
        </w:rPr>
        <w:t xml:space="preserve">                                                    </w:t>
      </w:r>
      <w:r>
        <w:rPr>
          <w:szCs w:val="44"/>
          <w:u w:val="single"/>
        </w:rPr>
        <w:t xml:space="preserve"> </w:t>
      </w:r>
      <w:bookmarkStart w:id="0" w:name="合同编号"/>
      <w:r>
        <w:rPr>
          <w:rFonts w:hint="eastAsia"/>
          <w:szCs w:val="44"/>
          <w:u w:val="single"/>
        </w:rPr>
        <w:t>0119-2020-Q</w:t>
      </w:r>
      <w:bookmarkEnd w:id="0"/>
    </w:p>
    <w:p>
      <w:pPr>
        <w:wordWrap w:val="0"/>
        <w:bidi w:val="0"/>
        <w:ind w:right="401" w:rightChars="191"/>
        <w:jc w:val="right"/>
        <w:rPr>
          <w:rFonts w:hint="eastAsia"/>
          <w:szCs w:val="44"/>
          <w:u w:val="single"/>
        </w:rPr>
      </w:pPr>
    </w:p>
    <w:p>
      <w:pPr>
        <w:wordWrap w:val="0"/>
        <w:bidi w:val="0"/>
        <w:ind w:right="401" w:rightChars="191"/>
        <w:jc w:val="both"/>
        <w:rPr>
          <w:rFonts w:hint="eastAsia" w:ascii="宋体" w:hAnsi="宋体"/>
          <w:sz w:val="18"/>
        </w:rPr>
      </w:pPr>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重庆北江机械制造有限责任公司</w:t>
      </w:r>
      <w:bookmarkEnd w:id="1"/>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532"/>
        <w:gridCol w:w="1025"/>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00"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1025"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532" w:type="dxa"/>
            <w:vAlign w:val="center"/>
          </w:tcPr>
          <w:p>
            <w:pPr>
              <w:rPr>
                <w:b/>
                <w:color w:val="000000" w:themeColor="text1"/>
                <w:sz w:val="20"/>
                <w:szCs w:val="20"/>
              </w:rPr>
            </w:pPr>
            <w:r>
              <w:rPr>
                <w:rFonts w:hint="eastAsia"/>
                <w:b/>
                <w:color w:val="000000" w:themeColor="text1"/>
                <w:sz w:val="20"/>
                <w:szCs w:val="20"/>
              </w:rPr>
              <w:t>邮箱</w:t>
            </w:r>
          </w:p>
        </w:tc>
        <w:tc>
          <w:tcPr>
            <w:tcW w:w="2666"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145"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666"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45"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666" w:type="dxa"/>
            <w:gridSpan w:val="2"/>
            <w:vAlign w:val="center"/>
          </w:tcPr>
          <w:p>
            <w:pPr>
              <w:spacing w:line="240" w:lineRule="exact"/>
              <w:jc w:val="center"/>
              <w:rPr>
                <w:b/>
                <w:color w:val="000000" w:themeColor="text1"/>
                <w:sz w:val="20"/>
                <w:szCs w:val="20"/>
              </w:rPr>
            </w:pPr>
            <w:r>
              <w:rPr>
                <w:b/>
                <w:color w:val="000000" w:themeColor="text1"/>
                <w:sz w:val="20"/>
                <w:szCs w:val="20"/>
              </w:rPr>
              <w:t>14.02.01,17.02.00,17.10.02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145" w:type="dxa"/>
            <w:gridSpan w:val="3"/>
            <w:vAlign w:val="center"/>
          </w:tcPr>
          <w:p>
            <w:pPr>
              <w:rPr>
                <w:b/>
                <w:color w:val="000000" w:themeColor="text1"/>
                <w:sz w:val="20"/>
                <w:szCs w:val="20"/>
              </w:rPr>
            </w:pPr>
            <w:r>
              <w:rPr>
                <w:rFonts w:hint="eastAsia"/>
                <w:b/>
                <w:color w:val="000000" w:themeColor="text1"/>
                <w:sz w:val="20"/>
                <w:szCs w:val="20"/>
              </w:rPr>
              <w:t>工作单位</w:t>
            </w:r>
          </w:p>
        </w:tc>
        <w:tc>
          <w:tcPr>
            <w:tcW w:w="2666"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45" w:type="dxa"/>
            <w:gridSpan w:val="3"/>
            <w:vAlign w:val="center"/>
          </w:tcPr>
          <w:p>
            <w:pPr>
              <w:rPr>
                <w:b/>
                <w:color w:val="000000" w:themeColor="text1"/>
              </w:rPr>
            </w:pPr>
          </w:p>
        </w:tc>
        <w:tc>
          <w:tcPr>
            <w:tcW w:w="2666"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45" w:type="dxa"/>
            <w:gridSpan w:val="3"/>
            <w:vAlign w:val="center"/>
          </w:tcPr>
          <w:p>
            <w:pPr>
              <w:rPr>
                <w:b/>
                <w:color w:val="000000" w:themeColor="text1"/>
              </w:rPr>
            </w:pPr>
          </w:p>
        </w:tc>
        <w:tc>
          <w:tcPr>
            <w:tcW w:w="2666"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8.3</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1"/>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重庆北江机械制造有限责任公司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25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重庆市江北区红兴路80号22-3</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400020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重庆市江北区红兴路80号22-3</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黄亚</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023-67696061</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黄亚</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黄亚</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燃气设备零配件及防腐管件（钢塑转换接头、钢塑引入管、防雷接头、绝缘接头）的生产</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14.02.01;17.02.00;17.10.02</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2019-10-01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生产部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销售部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120"/>
        <w:gridCol w:w="626"/>
        <w:gridCol w:w="6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20"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626" w:type="dxa"/>
          </w:tcPr>
          <w:p>
            <w:pPr>
              <w:rPr>
                <w:b/>
                <w:color w:val="000000" w:themeColor="text1"/>
                <w:sz w:val="20"/>
                <w:szCs w:val="20"/>
              </w:rPr>
            </w:pPr>
            <w:r>
              <w:rPr>
                <w:rFonts w:hint="eastAsia"/>
                <w:b/>
                <w:color w:val="000000" w:themeColor="text1"/>
                <w:sz w:val="20"/>
                <w:szCs w:val="20"/>
              </w:rPr>
              <w:t>规格</w:t>
            </w:r>
          </w:p>
        </w:tc>
        <w:tc>
          <w:tcPr>
            <w:tcW w:w="631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spacing w:line="0" w:lineRule="atLeast"/>
              <w:jc w:val="left"/>
              <w:rPr>
                <w:b/>
                <w:color w:val="FF0000"/>
                <w:sz w:val="20"/>
                <w:szCs w:val="20"/>
              </w:rPr>
            </w:pPr>
            <w:r>
              <w:rPr>
                <w:rFonts w:ascii="宋体" w:hAnsi="宋体"/>
                <w:b/>
                <w:color w:val="000000" w:themeColor="text1"/>
                <w:sz w:val="20"/>
                <w:szCs w:val="20"/>
              </w:rPr>
              <w:t>燃气设备零配件及防腐管件（钢塑转换接头、钢塑引入管、防雷接头、绝缘接头）的生产</w:t>
            </w:r>
          </w:p>
        </w:tc>
        <w:tc>
          <w:tcPr>
            <w:tcW w:w="1120" w:type="dxa"/>
          </w:tcPr>
          <w:p>
            <w:pPr>
              <w:rPr>
                <w:b/>
                <w:sz w:val="20"/>
                <w:szCs w:val="20"/>
              </w:rPr>
            </w:pPr>
          </w:p>
        </w:tc>
        <w:tc>
          <w:tcPr>
            <w:tcW w:w="626" w:type="dxa"/>
          </w:tcPr>
          <w:p>
            <w:pPr>
              <w:rPr>
                <w:b/>
                <w:color w:val="000000" w:themeColor="text1"/>
                <w:sz w:val="20"/>
                <w:szCs w:val="20"/>
              </w:rPr>
            </w:pPr>
          </w:p>
        </w:tc>
        <w:tc>
          <w:tcPr>
            <w:tcW w:w="6313" w:type="dxa"/>
          </w:tcPr>
          <w:p>
            <w:pPr>
              <w:widowControl/>
              <w:spacing w:line="400" w:lineRule="exact"/>
              <w:rPr>
                <w:b/>
                <w:color w:val="000000" w:themeColor="text1"/>
                <w:sz w:val="20"/>
                <w:szCs w:val="20"/>
              </w:rPr>
            </w:pPr>
            <w:r>
              <w:rPr>
                <w:rFonts w:hint="eastAsia" w:ascii="宋体" w:hAnsi="宋体"/>
                <w:szCs w:val="21"/>
              </w:rPr>
              <w:t>Q/BJ1-2017《燃气管道预制式燃气引入管》、Q/BJ4-2017《燃气管道防雷接头》、Q/BJ5-2017《整体式绝缘接头》、Q/BJ2-2017《燃气管道钢塑转换接头》企业标准等</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lang w:val="en-US" w:eastAsia="zh-CN"/>
        </w:rPr>
        <w:t>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10</w:t>
      </w:r>
      <w:r>
        <w:rPr>
          <w:rFonts w:hint="eastAsia"/>
          <w:b/>
          <w:color w:val="000000" w:themeColor="text1"/>
          <w:spacing w:val="-10"/>
          <w:szCs w:val="21"/>
        </w:rPr>
        <w:t>月</w:t>
      </w:r>
      <w:bookmarkStart w:id="17" w:name="OLE_LINK1"/>
      <w:r>
        <w:rPr>
          <w:rFonts w:hint="eastAsia"/>
          <w:b/>
          <w:color w:val="000000" w:themeColor="text1"/>
          <w:spacing w:val="-10"/>
          <w:szCs w:val="21"/>
          <w:lang w:val="en-US" w:eastAsia="zh-CN"/>
        </w:rPr>
        <w:t>01</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4</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提高素质抓管理，完善基础保质量</w:t>
            </w:r>
            <w:r>
              <w:rPr>
                <w:rFonts w:hint="eastAsia"/>
                <w:sz w:val="21"/>
                <w:szCs w:val="21"/>
              </w:rPr>
              <w:t>。</w:t>
            </w:r>
            <w:r>
              <w:rPr>
                <w:rFonts w:hint="eastAsia"/>
                <w:sz w:val="21"/>
                <w:szCs w:val="21"/>
                <w:lang w:eastAsia="zh-CN"/>
              </w:rPr>
              <w:t>强化服务争市场，三方共赢求发展。安全环保、遵纪守法、持续改进</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400" w:lineRule="exact"/>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spacing w:line="400" w:lineRule="exact"/>
              <w:rPr>
                <w:rFonts w:ascii="宋体" w:hAnsi="宋体"/>
                <w:szCs w:val="21"/>
              </w:rPr>
            </w:pPr>
            <w:r>
              <w:rPr>
                <w:rFonts w:hint="eastAsia" w:ascii="宋体" w:hAnsi="宋体"/>
                <w:szCs w:val="21"/>
              </w:rPr>
              <w:t>燃气设备零配件及防腐管件（钢塑转换接头、钢塑引入管、防雷接头、绝缘接头）的生产流程：</w:t>
            </w:r>
          </w:p>
          <w:p>
            <w:pPr>
              <w:spacing w:line="400" w:lineRule="exact"/>
              <w:rPr>
                <w:szCs w:val="21"/>
              </w:rPr>
            </w:pPr>
            <w:r>
              <w:rPr>
                <w:rFonts w:hint="eastAsia"/>
                <w:szCs w:val="21"/>
              </w:rPr>
              <w:t>原材料检验--下料</w:t>
            </w:r>
            <w:r>
              <w:rPr>
                <w:szCs w:val="21"/>
              </w:rPr>
              <w:t>—</w:t>
            </w:r>
            <w:r>
              <w:rPr>
                <w:rFonts w:hint="eastAsia"/>
                <w:szCs w:val="21"/>
              </w:rPr>
              <w:t>机加工--焊接--抛丸除锈---喷塑（需要时）---装配--压力试验--成品检验入库</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szCs w:val="21"/>
              </w:rPr>
              <w:t>压力试验</w:t>
            </w:r>
          </w:p>
          <w:p>
            <w:pPr>
              <w:tabs>
                <w:tab w:val="left" w:pos="540"/>
              </w:tabs>
              <w:spacing w:line="300" w:lineRule="exact"/>
              <w:ind w:left="201" w:hanging="201" w:hangingChars="100"/>
              <w:rPr>
                <w:rFonts w:ascii="宋体" w:hAnsi="宋体"/>
                <w:b/>
                <w:color w:val="000000" w:themeColor="text1"/>
                <w:szCs w:val="21"/>
              </w:rPr>
            </w:pPr>
            <w:r>
              <w:rPr>
                <w:rFonts w:hint="eastAsia" w:ascii="宋体" w:hAnsi="宋体"/>
                <w:b/>
                <w:color w:val="000000" w:themeColor="text1"/>
                <w:sz w:val="20"/>
                <w:szCs w:val="20"/>
                <w:lang w:eastAsia="zh-CN"/>
              </w:rPr>
              <w:t xml:space="preserve">需要确认过程：喷塑、焊接 </w:t>
            </w:r>
            <w:r>
              <w:rPr>
                <w:rFonts w:hint="eastAsia" w:ascii="宋体" w:hAnsi="宋体"/>
                <w:b/>
                <w:color w:val="000000" w:themeColor="text1"/>
                <w:sz w:val="20"/>
                <w:szCs w:val="20"/>
              </w:rPr>
              <w:t xml:space="preserve">      ，不适用</w:t>
            </w:r>
            <w:r>
              <w:rPr>
                <w:rFonts w:hint="eastAsia" w:ascii="宋体" w:hAnsi="宋体"/>
                <w:b/>
                <w:color w:val="000000" w:themeColor="text1"/>
                <w:sz w:val="20"/>
                <w:szCs w:val="20"/>
                <w:lang w:eastAsia="zh-CN"/>
              </w:rPr>
              <w:t>条款</w:t>
            </w:r>
            <w:r>
              <w:rPr>
                <w:rFonts w:hint="eastAsia" w:ascii="宋体" w:hAnsi="宋体"/>
                <w:b/>
                <w:color w:val="000000" w:themeColor="text1"/>
                <w:sz w:val="20"/>
                <w:szCs w:val="20"/>
              </w:rPr>
              <w:t xml:space="preserve">： </w:t>
            </w:r>
            <w:r>
              <w:rPr>
                <w:rFonts w:hint="eastAsia" w:ascii="宋体" w:hAnsi="宋体"/>
                <w:b/>
                <w:color w:val="000000" w:themeColor="text1"/>
                <w:sz w:val="20"/>
                <w:szCs w:val="20"/>
                <w:lang w:val="en-US" w:eastAsia="zh-CN"/>
              </w:rPr>
              <w:t>8.3。</w:t>
            </w:r>
            <w:r>
              <w:rPr>
                <w:rFonts w:hint="eastAsia"/>
                <w:sz w:val="21"/>
                <w:szCs w:val="21"/>
                <w:lang w:val="en-US" w:eastAsia="zh-CN"/>
              </w:rPr>
              <w:t>公司生产的产品按国家及企业标准进行生产，生产工艺成熟固定，且在生产过程中不涉及设计开发过程，故8.3条款不适用。该条款的不适用不影响我司提供满足客户要求及法律法规要求的产品。</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顾客满意</w:t>
            </w:r>
            <w:r>
              <w:rPr>
                <w:rFonts w:hint="eastAsia" w:ascii="宋体" w:hAnsi="宋体"/>
                <w:color w:val="000000" w:themeColor="text1"/>
                <w:sz w:val="21"/>
                <w:szCs w:val="21"/>
                <w:lang w:eastAsia="zh-CN"/>
              </w:rPr>
              <w:t>度</w:t>
            </w:r>
            <w:r>
              <w:rPr>
                <w:rFonts w:hint="eastAsia" w:ascii="宋体" w:hAnsi="宋体"/>
                <w:color w:val="000000" w:themeColor="text1"/>
                <w:sz w:val="21"/>
                <w:szCs w:val="21"/>
              </w:rPr>
              <w:t>9</w:t>
            </w:r>
            <w:r>
              <w:rPr>
                <w:rFonts w:hint="eastAsia" w:ascii="宋体" w:hAnsi="宋体"/>
                <w:color w:val="000000" w:themeColor="text1"/>
                <w:sz w:val="21"/>
                <w:szCs w:val="21"/>
                <w:lang w:val="en-US" w:eastAsia="zh-CN"/>
              </w:rPr>
              <w:t>0分以上</w:t>
            </w:r>
            <w:r>
              <w:rPr>
                <w:rFonts w:hint="eastAsia" w:ascii="宋体" w:hAnsi="宋体"/>
                <w:color w:val="000000" w:themeColor="text1"/>
                <w:sz w:val="21"/>
                <w:szCs w:val="21"/>
              </w:rPr>
              <w:t>；</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lang w:eastAsia="zh-CN"/>
              </w:rPr>
              <w:t>技术咨询、技术服务合格</w:t>
            </w:r>
            <w:r>
              <w:rPr>
                <w:rFonts w:hint="eastAsia" w:ascii="宋体" w:hAnsi="宋体"/>
                <w:color w:val="000000" w:themeColor="text1"/>
                <w:sz w:val="21"/>
                <w:szCs w:val="21"/>
              </w:rPr>
              <w:t>率100%。</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lang w:eastAsia="zh-CN"/>
              </w:rPr>
              <w:t>交付</w:t>
            </w:r>
            <w:r>
              <w:rPr>
                <w:rFonts w:hint="eastAsia" w:ascii="宋体" w:hAnsi="宋体"/>
                <w:color w:val="000000" w:themeColor="text1"/>
                <w:sz w:val="21"/>
                <w:szCs w:val="21"/>
              </w:rPr>
              <w:t>合格率达100%</w:t>
            </w:r>
          </w:p>
          <w:p>
            <w:pPr>
              <w:spacing w:line="300" w:lineRule="exact"/>
              <w:rPr>
                <w:rFonts w:ascii="宋体" w:hAnsi="宋体"/>
                <w:b/>
                <w:color w:val="000000" w:themeColor="text1"/>
              </w:rPr>
            </w:pPr>
            <w:r>
              <w:rPr>
                <w:rFonts w:hint="eastAsia" w:ascii="宋体" w:hAnsi="宋体"/>
                <w:color w:val="000000" w:themeColor="text1"/>
                <w:sz w:val="21"/>
                <w:szCs w:val="21"/>
                <w:lang w:eastAsia="zh-CN"/>
              </w:rPr>
              <w:t>合同履约率</w:t>
            </w:r>
            <w:r>
              <w:rPr>
                <w:rFonts w:hint="eastAsia" w:ascii="宋体" w:hAnsi="宋体"/>
                <w:color w:val="000000" w:themeColor="text1"/>
                <w:sz w:val="21"/>
                <w:szCs w:val="21"/>
                <w:lang w:val="en-US" w:eastAsia="zh-CN"/>
              </w:rPr>
              <w:t>10</w:t>
            </w:r>
            <w:r>
              <w:rPr>
                <w:rFonts w:hint="eastAsia" w:ascii="宋体" w:hAnsi="宋体"/>
                <w:color w:val="000000" w:themeColor="text1"/>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10</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w:t>
            </w:r>
            <w:r>
              <w:rPr>
                <w:rFonts w:hint="eastAsia" w:ascii="宋体" w:hAnsi="宋体" w:cs="宋体"/>
                <w:color w:val="000000" w:themeColor="text1"/>
                <w:lang w:eastAsia="zh-CN"/>
              </w:rPr>
              <w:t>组织</w:t>
            </w:r>
            <w:r>
              <w:rPr>
                <w:rFonts w:hint="eastAsia" w:ascii="宋体" w:hAnsi="宋体" w:cs="宋体"/>
                <w:color w:val="000000" w:themeColor="text1"/>
              </w:rPr>
              <w:t>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bCs/>
                <w:iCs/>
                <w:szCs w:val="22"/>
                <w:lang w:val="en-US" w:eastAsia="zh-CN"/>
              </w:rPr>
              <w:t>组织在工业园区内有标准化厂房及办公场地.主要生产设备包括：</w:t>
            </w:r>
            <w:r>
              <w:rPr>
                <w:rFonts w:hint="eastAsia" w:ascii="宋体" w:hAnsi="宋体"/>
                <w:bCs/>
                <w:iCs/>
                <w:szCs w:val="22"/>
              </w:rPr>
              <w:t>办公设备、电脑、普通车床、数控车床、冲床、抛丸机、锯床、液压机、钻床、喷塑房</w:t>
            </w:r>
            <w:r>
              <w:rPr>
                <w:rFonts w:hint="eastAsia" w:ascii="宋体" w:hAnsi="宋体"/>
                <w:bCs/>
                <w:iCs/>
                <w:szCs w:val="22"/>
                <w:lang w:eastAsia="zh-CN"/>
              </w:rPr>
              <w:t>等</w:t>
            </w:r>
            <w:r>
              <w:rPr>
                <w:rFonts w:hint="eastAsia" w:ascii="宋体" w:hAnsi="宋体"/>
                <w:bCs/>
                <w:iCs/>
                <w:szCs w:val="22"/>
                <w:lang w:val="en-US" w:eastAsia="zh-CN"/>
              </w:rPr>
              <w:t>，可以满足生产需要。对设备按月方式进行点检维护保养，并实施。特种设备：无。公司未建立信息管理系统用于生产和服务。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w:t>
            </w:r>
            <w:r>
              <w:rPr>
                <w:rFonts w:hint="eastAsia" w:ascii="宋体" w:hAnsi="宋体" w:cs="宋体"/>
                <w:szCs w:val="21"/>
                <w:lang w:eastAsia="zh-CN"/>
              </w:rPr>
              <w:t>研发生产部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生产车间及检验部门均按策划的要求配置了相应的检测设备，均采用委外送检的方式。抽在用检具的检定或校准证书</w:t>
            </w:r>
            <w:r>
              <w:rPr>
                <w:rFonts w:hint="eastAsia" w:ascii="宋体" w:hAnsi="宋体" w:cs="宋体"/>
                <w:szCs w:val="21"/>
                <w:lang w:eastAsia="zh-CN"/>
              </w:rPr>
              <w:t>，</w:t>
            </w:r>
            <w:r>
              <w:rPr>
                <w:rFonts w:hint="eastAsia" w:ascii="宋体" w:hAnsi="宋体" w:cs="宋体"/>
                <w:szCs w:val="21"/>
              </w:rPr>
              <w:t>绝缘电阻表、直流电火花检测仪、耐压测试仪、压力表、游标卡尺等、不能提供在用检具的有效校准或检定证书，提供的已过期。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rFonts w:hint="eastAsia" w:eastAsia="宋体"/>
                <w:b/>
                <w:color w:val="000000" w:themeColor="text1"/>
                <w:sz w:val="20"/>
                <w:szCs w:val="20"/>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r>
              <w:rPr>
                <w:rFonts w:hint="eastAsia" w:ascii="宋体" w:hAnsi="宋体" w:cs="宋体"/>
                <w:color w:val="000000"/>
                <w:szCs w:val="21"/>
              </w:rPr>
              <w:t>QMS关键工序</w:t>
            </w:r>
            <w:r>
              <w:rPr>
                <w:rFonts w:hint="eastAsia" w:ascii="宋体" w:hAnsi="宋体"/>
                <w:sz w:val="21"/>
                <w:szCs w:val="21"/>
                <w:lang w:val="en-US" w:eastAsia="zh-CN"/>
              </w:rPr>
              <w:t xml:space="preserve">：试压工序  </w:t>
            </w:r>
            <w:r>
              <w:rPr>
                <w:rFonts w:hint="eastAsia" w:ascii="宋体" w:hAnsi="宋体" w:cs="宋体"/>
                <w:color w:val="000000"/>
                <w:szCs w:val="21"/>
              </w:rPr>
              <w:t>特殊过程</w:t>
            </w:r>
            <w:r>
              <w:rPr>
                <w:rFonts w:hint="eastAsia" w:ascii="宋体" w:hAnsi="宋体" w:cs="宋体"/>
                <w:color w:val="000000"/>
                <w:szCs w:val="21"/>
                <w:lang w:eastAsia="zh-CN"/>
              </w:rPr>
              <w:t>：喷塑、焊接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rPr>
              <w:t>5 .</w:t>
            </w:r>
            <w:r>
              <w:rPr>
                <w:rFonts w:hint="eastAsia"/>
                <w:b/>
                <w:color w:val="000000" w:themeColor="text1"/>
                <w:sz w:val="20"/>
                <w:szCs w:val="20"/>
                <w14:textFill>
                  <w14:solidFill>
                    <w14:schemeClr w14:val="tx1"/>
                  </w14:solidFill>
                </w14:textFill>
              </w:rPr>
              <w:t>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eastAsia="zh-CN"/>
              </w:rPr>
              <w:t>远程</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rFonts w:hint="eastAsia" w:eastAsia="宋体"/>
                <w:b/>
                <w:color w:val="000000" w:themeColor="text1"/>
                <w:sz w:val="20"/>
                <w:szCs w:val="20"/>
                <w:lang w:eastAsia="zh-CN"/>
              </w:rPr>
            </w:pPr>
            <w:r>
              <w:rPr>
                <w:rFonts w:hint="eastAsia" w:ascii="宋体" w:hAnsi="宋体" w:cs="宋体"/>
                <w:color w:val="000000" w:themeColor="text1"/>
                <w:szCs w:val="21"/>
                <w14:textFill>
                  <w14:solidFill>
                    <w14:schemeClr w14:val="tx1"/>
                  </w14:solidFill>
                </w14:textFill>
              </w:rPr>
              <w:t>特种设备：</w:t>
            </w:r>
            <w:r>
              <w:rPr>
                <w:rFonts w:hint="eastAsia" w:ascii="宋体" w:hAnsi="宋体" w:cs="宋体"/>
                <w:color w:val="000000" w:themeColor="text1"/>
                <w:szCs w:val="21"/>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w:t>
            </w:r>
            <w:r>
              <w:rPr>
                <w:rFonts w:hint="eastAsia" w:ascii="宋体" w:hAnsi="宋体" w:cs="宋体"/>
                <w:color w:val="000000"/>
                <w:szCs w:val="21"/>
                <w:lang w:val="en-US" w:eastAsia="zh-CN"/>
              </w:rPr>
              <w:t>-3月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12</w:t>
            </w:r>
            <w:r>
              <w:rPr>
                <w:rFonts w:hint="eastAsia" w:ascii="宋体" w:hAnsi="宋体" w:cs="宋体"/>
                <w:color w:val="000000"/>
                <w:szCs w:val="21"/>
              </w:rPr>
              <w:t>月实施，满意度评价</w:t>
            </w:r>
            <w:r>
              <w:rPr>
                <w:rFonts w:hint="eastAsia" w:ascii="宋体" w:hAnsi="宋体" w:cs="宋体"/>
                <w:color w:val="000000"/>
                <w:szCs w:val="21"/>
                <w:lang w:val="en-US" w:eastAsia="zh-CN"/>
              </w:rPr>
              <w:t>81%分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sz w:val="21"/>
                <w:szCs w:val="21"/>
              </w:rPr>
              <w:t>20</w:t>
            </w:r>
            <w:r>
              <w:rPr>
                <w:rFonts w:hint="eastAsia"/>
                <w:sz w:val="21"/>
                <w:szCs w:val="21"/>
                <w:lang w:val="en-US" w:eastAsia="zh-CN"/>
              </w:rPr>
              <w:t>20年</w:t>
            </w:r>
            <w:r>
              <w:rPr>
                <w:rFonts w:hint="eastAsia"/>
                <w:sz w:val="21"/>
                <w:szCs w:val="21"/>
              </w:rPr>
              <w:t>1</w:t>
            </w:r>
            <w:r>
              <w:rPr>
                <w:rFonts w:hint="eastAsia"/>
                <w:sz w:val="21"/>
                <w:szCs w:val="21"/>
                <w:lang w:eastAsia="zh-CN"/>
              </w:rPr>
              <w:t>月</w:t>
            </w:r>
            <w:r>
              <w:rPr>
                <w:rFonts w:hint="eastAsia"/>
                <w:sz w:val="21"/>
                <w:szCs w:val="21"/>
              </w:rPr>
              <w:t>1</w:t>
            </w:r>
            <w:r>
              <w:rPr>
                <w:rFonts w:hint="eastAsia"/>
                <w:sz w:val="21"/>
                <w:szCs w:val="21"/>
                <w:lang w:val="en-US" w:eastAsia="zh-CN"/>
              </w:rPr>
              <w:t>2日--2020年1月13日</w:t>
            </w:r>
            <w:r>
              <w:rPr>
                <w:rFonts w:hint="eastAsia" w:ascii="Times New Roman" w:hAnsi="Times New Roman" w:cs="Times New Roman"/>
                <w:sz w:val="21"/>
                <w:szCs w:val="21"/>
                <w:lang w:val="en-US" w:eastAsia="zh-CN"/>
              </w:rPr>
              <w:t xml:space="preserve"> </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2</w:t>
            </w:r>
            <w:r>
              <w:rPr>
                <w:rFonts w:hint="eastAsia" w:ascii="宋体" w:hAnsi="宋体" w:cs="宋体"/>
                <w:szCs w:val="21"/>
              </w:rPr>
              <w:t>项，</w:t>
            </w:r>
            <w:r>
              <w:rPr>
                <w:rFonts w:hint="eastAsia"/>
                <w:sz w:val="21"/>
                <w:szCs w:val="21"/>
              </w:rPr>
              <w:t>涉及行政部7.</w:t>
            </w:r>
            <w:r>
              <w:rPr>
                <w:rFonts w:hint="eastAsia"/>
                <w:sz w:val="21"/>
                <w:szCs w:val="21"/>
                <w:lang w:val="en-US" w:eastAsia="zh-CN"/>
              </w:rPr>
              <w:t>2条款及生产部8.1条款。</w:t>
            </w:r>
            <w:r>
              <w:rPr>
                <w:rFonts w:hint="eastAsia"/>
                <w:sz w:val="21"/>
                <w:szCs w:val="21"/>
                <w:lang w:eastAsia="zh-CN"/>
              </w:rPr>
              <w:t>不符合事实描述为“不能提供对本行业相关法律法规、合规义务、合规性评价进行培训的证据”、“查《进货检验规程》该文件没有编审批”</w:t>
            </w:r>
            <w:r>
              <w:rPr>
                <w:rFonts w:hint="eastAsia"/>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cs="Times New Roman"/>
                <w:kern w:val="0"/>
                <w:sz w:val="21"/>
                <w:szCs w:val="21"/>
                <w:lang w:eastAsia="zh-CN"/>
              </w:rPr>
              <w:t>20</w:t>
            </w:r>
            <w:r>
              <w:rPr>
                <w:rFonts w:hint="eastAsia" w:ascii="宋体" w:hAnsi="宋体" w:cs="Times New Roman"/>
                <w:kern w:val="0"/>
                <w:sz w:val="21"/>
                <w:szCs w:val="21"/>
                <w:lang w:val="en-US" w:eastAsia="zh-CN"/>
              </w:rPr>
              <w:t>20</w:t>
            </w:r>
            <w:r>
              <w:rPr>
                <w:rFonts w:hint="eastAsia" w:ascii="宋体" w:hAnsi="宋体" w:cs="Times New Roman"/>
                <w:kern w:val="0"/>
                <w:sz w:val="21"/>
                <w:szCs w:val="21"/>
                <w:lang w:eastAsia="zh-CN"/>
              </w:rPr>
              <w:t>年</w:t>
            </w:r>
            <w:r>
              <w:rPr>
                <w:rFonts w:hint="eastAsia" w:ascii="宋体" w:hAnsi="宋体" w:cs="Times New Roman"/>
                <w:kern w:val="0"/>
                <w:sz w:val="21"/>
                <w:szCs w:val="21"/>
                <w:lang w:val="en-US" w:eastAsia="zh-CN"/>
              </w:rPr>
              <w:t>3</w:t>
            </w:r>
            <w:r>
              <w:rPr>
                <w:rFonts w:hint="eastAsia" w:ascii="宋体" w:hAnsi="宋体" w:cs="Times New Roman"/>
                <w:kern w:val="0"/>
                <w:sz w:val="21"/>
                <w:szCs w:val="21"/>
                <w:lang w:eastAsia="zh-CN"/>
              </w:rPr>
              <w:t>月2</w:t>
            </w:r>
            <w:r>
              <w:rPr>
                <w:rFonts w:hint="eastAsia" w:ascii="宋体" w:hAnsi="宋体" w:cs="Times New Roman"/>
                <w:kern w:val="0"/>
                <w:sz w:val="21"/>
                <w:szCs w:val="21"/>
                <w:lang w:val="en-US" w:eastAsia="zh-CN"/>
              </w:rPr>
              <w:t>1</w:t>
            </w:r>
            <w:r>
              <w:rPr>
                <w:rFonts w:hint="eastAsia" w:ascii="宋体" w:hAnsi="宋体" w:cs="Times New Roman"/>
                <w:kern w:val="0"/>
                <w:sz w:val="21"/>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1. 本次审核共开具Q不符合项报告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 项；其中</w:t>
      </w:r>
      <w:r>
        <w:rPr>
          <w:b/>
          <w:color w:val="000000" w:themeColor="text1"/>
          <w14:textFill>
            <w14:solidFill>
              <w14:schemeClr w14:val="tx1"/>
            </w14:solidFill>
          </w14:textFill>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14:textFill>
            <w14:solidFill>
              <w14:schemeClr w14:val="tx1"/>
            </w14:solidFill>
          </w14:textFill>
        </w:rPr>
        <w:t xml:space="preserve">严重不符合 0 项，一般不符合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项，观察项 </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项，分布在</w:t>
      </w:r>
      <w:r>
        <w:rPr>
          <w:rFonts w:hint="eastAsia"/>
          <w:b/>
          <w:color w:val="000000" w:themeColor="text1"/>
          <w:lang w:eastAsia="zh-CN"/>
          <w14:textFill>
            <w14:solidFill>
              <w14:schemeClr w14:val="tx1"/>
            </w14:solidFill>
          </w14:textFill>
        </w:rPr>
        <w:t>人事行政部</w:t>
      </w:r>
      <w:r>
        <w:rPr>
          <w:rFonts w:hint="eastAsia"/>
          <w:b/>
          <w:color w:val="000000" w:themeColor="text1"/>
          <w14:textFill>
            <w14:solidFill>
              <w14:schemeClr w14:val="tx1"/>
            </w14:solidFill>
          </w14:textFill>
        </w:rPr>
        <w:t>部门条款7.</w:t>
      </w:r>
      <w:r>
        <w:rPr>
          <w:rFonts w:hint="eastAsia"/>
          <w:b/>
          <w:color w:val="000000" w:themeColor="text1"/>
          <w:lang w:val="en-US" w:eastAsia="zh-CN"/>
          <w14:textFill>
            <w14:solidFill>
              <w14:schemeClr w14:val="tx1"/>
            </w14:solidFill>
          </w14:textFill>
        </w:rPr>
        <w:t>1.5）</w:t>
      </w:r>
      <w:r>
        <w:rPr>
          <w:rFonts w:hint="eastAsia"/>
          <w:b/>
          <w:color w:val="000000" w:themeColor="text1"/>
          <w14:textFill>
            <w14:solidFill>
              <w14:schemeClr w14:val="tx1"/>
            </w14:solidFill>
          </w14:textFill>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可能影响本次审核结论可靠性的因素：已完成</w:t>
      </w:r>
      <w:r>
        <w:rPr>
          <w:rFonts w:hint="eastAsia" w:ascii="宋体" w:hAnsi="宋体"/>
          <w:b/>
          <w:color w:val="000000" w:themeColor="text1"/>
          <w:szCs w:val="21"/>
          <w:lang w:eastAsia="zh-CN"/>
        </w:rPr>
        <w:t>远程</w:t>
      </w:r>
      <w:r>
        <w:rPr>
          <w:rFonts w:hint="eastAsia" w:ascii="宋体" w:hAnsi="宋体"/>
          <w:b/>
          <w:color w:val="000000" w:themeColor="text1"/>
          <w:szCs w:val="21"/>
        </w:rPr>
        <w:t>审核计划的全部工作</w:t>
      </w:r>
      <w:r>
        <w:rPr>
          <w:rFonts w:hint="eastAsia" w:ascii="宋体" w:hAnsi="宋体"/>
          <w:b/>
          <w:color w:val="000000" w:themeColor="text1"/>
          <w:szCs w:val="21"/>
          <w:lang w:eastAsia="zh-CN"/>
        </w:rPr>
        <w:t>，后续将安排</w:t>
      </w:r>
      <w:r>
        <w:rPr>
          <w:rFonts w:hint="eastAsia" w:ascii="宋体" w:hAnsi="宋体"/>
          <w:b/>
          <w:color w:val="000000" w:themeColor="text1"/>
          <w:szCs w:val="21"/>
          <w:lang w:val="en-US" w:eastAsia="zh-CN"/>
        </w:rPr>
        <w:t>0.5人日现场核实</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ind w:firstLine="382" w:firstLineChars="200"/>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pacing w:line="0" w:lineRule="atLeast"/>
              <w:jc w:val="left"/>
              <w:rPr>
                <w:b/>
                <w:color w:val="000000" w:themeColor="text1"/>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szCs w:val="21"/>
              </w:rPr>
              <w:t xml:space="preserve">燃气设备零配件及防腐管件（钢塑转换接头、钢塑引入管、防雷接头、绝缘接头）的生产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156" w:beforeLines="50" w:after="156" w:afterLines="50"/>
        <w:ind w:left="-1535" w:leftChars="-731" w:firstLine="663" w:firstLineChars="300"/>
        <w:rPr>
          <w:b/>
          <w:color w:val="000000" w:themeColor="text1"/>
          <w:sz w:val="16"/>
          <w:szCs w:val="16"/>
        </w:rPr>
      </w:pPr>
      <w:r>
        <w:rPr>
          <w:rFonts w:hint="eastAsia"/>
          <w:b/>
          <w:sz w:val="22"/>
          <w:szCs w:val="22"/>
        </w:rPr>
        <w:drawing>
          <wp:anchor distT="0" distB="0" distL="114300" distR="114300" simplePos="0" relativeHeight="251670528" behindDoc="0" locked="0" layoutInCell="1" allowOverlap="1">
            <wp:simplePos x="0" y="0"/>
            <wp:positionH relativeFrom="column">
              <wp:posOffset>1616710</wp:posOffset>
            </wp:positionH>
            <wp:positionV relativeFrom="paragraph">
              <wp:posOffset>333375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0" w:leftChars="-32" w:hanging="57" w:hangingChars="26"/>
        <w:rPr>
          <w:b/>
          <w:color w:val="000000" w:themeColor="text1"/>
        </w:rPr>
      </w:pPr>
      <w:r>
        <w:rPr>
          <w:rFonts w:hint="eastAsia"/>
          <w:b/>
          <w:sz w:val="22"/>
          <w:szCs w:val="22"/>
        </w:rPr>
        <w:drawing>
          <wp:anchor distT="0" distB="0" distL="114300" distR="114300" simplePos="0" relativeHeight="251674624" behindDoc="0" locked="0" layoutInCell="1" allowOverlap="1">
            <wp:simplePos x="0" y="0"/>
            <wp:positionH relativeFrom="column">
              <wp:posOffset>1565910</wp:posOffset>
            </wp:positionH>
            <wp:positionV relativeFrom="paragraph">
              <wp:posOffset>269875</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rPr>
        <w:t xml:space="preserve">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 xml:space="preserve"> 11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14:textFill>
            <w14:solidFill>
              <w14:schemeClr w14:val="tx1"/>
            </w14:solidFill>
          </w14:textFill>
        </w:rPr>
      </w:pPr>
      <w:r>
        <w:rPr>
          <w:rFonts w:hint="eastAsia"/>
          <w:b/>
          <w:bCs/>
          <w:color w:val="000000" w:themeColor="text1"/>
          <w:szCs w:val="21"/>
        </w:rPr>
        <w:t xml:space="preserve">1. </w:t>
      </w:r>
      <w:bookmarkStart w:id="19" w:name="_GoBack"/>
      <w:r>
        <w:rPr>
          <w:rFonts w:hint="eastAsia"/>
          <w:b/>
          <w:bCs/>
          <w:color w:val="000000" w:themeColor="text1"/>
          <w:szCs w:val="21"/>
          <w14:textFill>
            <w14:solidFill>
              <w14:schemeClr w14:val="tx1"/>
            </w14:solidFill>
          </w14:textFill>
        </w:rPr>
        <w:t xml:space="preserve"> 审核中发现的☑QMS( </w:t>
      </w:r>
      <w:r>
        <w:rPr>
          <w:rFonts w:hint="eastAsia"/>
          <w:b/>
          <w:bCs/>
          <w:color w:val="000000" w:themeColor="text1"/>
          <w:szCs w:val="21"/>
          <w:lang w:val="en-US" w:eastAsia="zh-CN"/>
          <w14:textFill>
            <w14:solidFill>
              <w14:schemeClr w14:val="tx1"/>
            </w14:solidFill>
          </w14:textFill>
        </w:rPr>
        <w:t>1</w:t>
      </w:r>
      <w:r>
        <w:rPr>
          <w:rFonts w:hint="eastAsia"/>
          <w:b/>
          <w:bCs/>
          <w:color w:val="000000" w:themeColor="text1"/>
          <w:szCs w:val="21"/>
          <w14:textFill>
            <w14:solidFill>
              <w14:schemeClr w14:val="tx1"/>
            </w14:solidFill>
          </w14:textFill>
        </w:rPr>
        <w:t>)个一般不符合，( 0 )个严重不符合，</w:t>
      </w:r>
      <w:r>
        <w:rPr>
          <w:rFonts w:hint="eastAsia"/>
          <w:b/>
          <w:bCs/>
          <w:color w:val="000000" w:themeColor="text1"/>
          <w:szCs w:val="21"/>
          <w:lang w:eastAsia="zh-CN"/>
          <w14:textFill>
            <w14:solidFill>
              <w14:schemeClr w14:val="tx1"/>
            </w14:solidFill>
          </w14:textFill>
        </w:rPr>
        <w:t>☑</w:t>
      </w:r>
      <w:r>
        <w:rPr>
          <w:rFonts w:hint="eastAsia"/>
          <w:b/>
          <w:bCs/>
          <w:color w:val="000000" w:themeColor="text1"/>
          <w:szCs w:val="21"/>
          <w14:textFill>
            <w14:solidFill>
              <w14:schemeClr w14:val="tx1"/>
            </w14:solidFill>
          </w14:textFill>
        </w:rPr>
        <w:t>验证合格□仍有问题</w:t>
      </w:r>
    </w:p>
    <w:bookmarkEnd w:id="19"/>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8"/>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218F"/>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A84CB2"/>
    <w:rsid w:val="07AE2D06"/>
    <w:rsid w:val="089E2646"/>
    <w:rsid w:val="0AE52265"/>
    <w:rsid w:val="0CC7527B"/>
    <w:rsid w:val="0EB36807"/>
    <w:rsid w:val="0FB74A65"/>
    <w:rsid w:val="10E854AA"/>
    <w:rsid w:val="1198680D"/>
    <w:rsid w:val="126F7B51"/>
    <w:rsid w:val="14DB0987"/>
    <w:rsid w:val="15961228"/>
    <w:rsid w:val="1974056C"/>
    <w:rsid w:val="1ABB01D3"/>
    <w:rsid w:val="1ACD62B8"/>
    <w:rsid w:val="1B4F1B57"/>
    <w:rsid w:val="1C440198"/>
    <w:rsid w:val="1C5F0C83"/>
    <w:rsid w:val="1DCB178B"/>
    <w:rsid w:val="1E40289E"/>
    <w:rsid w:val="1F520E03"/>
    <w:rsid w:val="21611269"/>
    <w:rsid w:val="218A16F9"/>
    <w:rsid w:val="25CD1223"/>
    <w:rsid w:val="2D661B74"/>
    <w:rsid w:val="2F1239C1"/>
    <w:rsid w:val="32081D79"/>
    <w:rsid w:val="32C1463B"/>
    <w:rsid w:val="34265884"/>
    <w:rsid w:val="36EC7F03"/>
    <w:rsid w:val="39DE4194"/>
    <w:rsid w:val="3B860344"/>
    <w:rsid w:val="3C191EA6"/>
    <w:rsid w:val="3C6210A8"/>
    <w:rsid w:val="3D1277C5"/>
    <w:rsid w:val="401450D1"/>
    <w:rsid w:val="4292115D"/>
    <w:rsid w:val="432329ED"/>
    <w:rsid w:val="43380ADB"/>
    <w:rsid w:val="455B7DE8"/>
    <w:rsid w:val="46736188"/>
    <w:rsid w:val="469452FC"/>
    <w:rsid w:val="48212822"/>
    <w:rsid w:val="49C82B1C"/>
    <w:rsid w:val="49D96455"/>
    <w:rsid w:val="49FA7342"/>
    <w:rsid w:val="4B173D3E"/>
    <w:rsid w:val="4B4A3A22"/>
    <w:rsid w:val="53DC0AA7"/>
    <w:rsid w:val="5C0F099A"/>
    <w:rsid w:val="5CDD1C2D"/>
    <w:rsid w:val="5FD65205"/>
    <w:rsid w:val="61A2120B"/>
    <w:rsid w:val="63E122A7"/>
    <w:rsid w:val="653F2CB5"/>
    <w:rsid w:val="673B259B"/>
    <w:rsid w:val="69DE7923"/>
    <w:rsid w:val="6A1418BC"/>
    <w:rsid w:val="6BCE5F42"/>
    <w:rsid w:val="6D1A2693"/>
    <w:rsid w:val="6F5B59DC"/>
    <w:rsid w:val="73226B9D"/>
    <w:rsid w:val="73E660A9"/>
    <w:rsid w:val="780960F1"/>
    <w:rsid w:val="780F0F53"/>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1"/>
    <w:basedOn w:val="9"/>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1369</Words>
  <Characters>7805</Characters>
  <Lines>65</Lines>
  <Paragraphs>18</Paragraphs>
  <TotalTime>2</TotalTime>
  <ScaleCrop>false</ScaleCrop>
  <LinksUpToDate>false</LinksUpToDate>
  <CharactersWithSpaces>9156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2020-04-11T08:15:49Z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