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30642-2023-QEO</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第 二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西安铂士顿电气设备制造有限公司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李宝花</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李俐，郭力</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管理体系审核计划（通知）书         </w:t>
      </w:r>
      <w:r>
        <w:rPr>
          <w:rFonts w:ascii="Wingdings 2" w:hAnsi="Wingdings 2"/>
          <w:szCs w:val="21"/>
        </w:rPr>
        <w:sym w:font="Wingdings 2" w:char="F0A2"/>
      </w:r>
      <w:r>
        <w:rPr>
          <w:rFonts w:hint="eastAsia"/>
          <w:szCs w:val="21"/>
        </w:rPr>
        <w:t xml:space="preserve">首末次会议签到表 </w:t>
      </w:r>
      <w:r>
        <w:rPr>
          <w:szCs w:val="21"/>
        </w:rPr>
        <w:t xml:space="preserve">    </w:t>
      </w:r>
      <w:r>
        <w:rPr>
          <w:rFonts w:ascii="Wingdings 2" w:hAnsi="Wingdings 2"/>
          <w:szCs w:val="21"/>
        </w:rPr>
        <w:sym w:font="Wingdings 2" w:char="F0A2"/>
      </w:r>
      <w:r>
        <w:rPr>
          <w:rFonts w:hint="eastAsia"/>
          <w:szCs w:val="21"/>
        </w:rPr>
        <w:t xml:space="preserve">文件审核报告               </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第一阶段审核报告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 xml:space="preserve">不符合项报告    </w:t>
      </w:r>
      <w:r>
        <w:rPr>
          <w:szCs w:val="21"/>
        </w:rPr>
        <w:t xml:space="preserve">   </w:t>
      </w:r>
      <w:r>
        <w:rPr>
          <w:rFonts w:hint="eastAsia"/>
          <w:szCs w:val="21"/>
        </w:rPr>
        <w:t xml:space="preserve">  </w:t>
      </w:r>
      <w:r>
        <w:rPr>
          <w:rFonts w:hint="eastAsia" w:ascii="宋体" w:hAnsi="宋体"/>
          <w:szCs w:val="21"/>
        </w:rPr>
        <w:t>□</w:t>
      </w:r>
      <w:r>
        <w:rPr>
          <w:rFonts w:hint="eastAsia"/>
          <w:szCs w:val="21"/>
        </w:rPr>
        <w:t>其 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   审核组长：</w:t>
      </w:r>
    </w:p>
    <w:p>
      <w:pPr>
        <w:spacing w:line="380" w:lineRule="exact"/>
        <w:ind w:firstLine="5040" w:firstLineChars="2400"/>
        <w:rPr>
          <w:szCs w:val="21"/>
        </w:rPr>
      </w:pPr>
      <w:r>
        <w:rPr>
          <w:rFonts w:hint="eastAsia"/>
          <w:szCs w:val="21"/>
        </w:rPr>
        <w:t xml:space="preserve">组 员：       </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李宝花</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268" w:type="dxa"/>
            <w:vAlign w:val="center"/>
          </w:tcPr>
          <w:p>
            <w:pPr>
              <w:spacing w:line="360" w:lineRule="exact"/>
              <w:jc w:val="center"/>
              <w:rPr>
                <w:b/>
                <w:szCs w:val="21"/>
              </w:rPr>
            </w:pPr>
            <w:r>
              <w:rPr>
                <w:b/>
                <w:szCs w:val="21"/>
              </w:rPr>
              <w:t>2022-N1QMS-2239141</w:t>
            </w:r>
          </w:p>
          <w:p>
            <w:pPr>
              <w:spacing w:line="360" w:lineRule="exact"/>
              <w:jc w:val="center"/>
              <w:rPr>
                <w:b/>
                <w:szCs w:val="21"/>
              </w:rPr>
            </w:pPr>
            <w:r>
              <w:rPr>
                <w:b/>
                <w:szCs w:val="21"/>
              </w:rPr>
              <w:t>2022-N1EMS-2239141</w:t>
            </w:r>
          </w:p>
          <w:p>
            <w:pPr>
              <w:spacing w:line="360" w:lineRule="exact"/>
              <w:jc w:val="center"/>
              <w:rPr>
                <w:b/>
                <w:szCs w:val="21"/>
              </w:rPr>
            </w:pPr>
            <w:r>
              <w:rPr>
                <w:b/>
                <w:szCs w:val="21"/>
              </w:rPr>
              <w:t>2021-N1OHSMS-1239141</w:t>
            </w:r>
          </w:p>
        </w:tc>
        <w:tc>
          <w:tcPr>
            <w:tcW w:w="3145" w:type="dxa"/>
            <w:vAlign w:val="center"/>
          </w:tcPr>
          <w:p>
            <w:pPr>
              <w:spacing w:line="360" w:lineRule="exact"/>
              <w:jc w:val="center"/>
              <w:rPr>
                <w:b/>
                <w:szCs w:val="21"/>
              </w:rPr>
            </w:pPr>
            <w:r>
              <w:rPr>
                <w:b/>
                <w:szCs w:val="21"/>
              </w:rPr>
              <w:t>Q:18.09.00,19.14.00</w:t>
            </w:r>
          </w:p>
          <w:p>
            <w:pPr>
              <w:spacing w:line="360" w:lineRule="exact"/>
              <w:jc w:val="center"/>
              <w:rPr>
                <w:b/>
                <w:szCs w:val="21"/>
              </w:rPr>
            </w:pPr>
            <w:r>
              <w:rPr>
                <w:b/>
                <w:szCs w:val="21"/>
              </w:rPr>
              <w:t>E:18.09.00,19.14.00</w:t>
            </w:r>
          </w:p>
          <w:p>
            <w:pPr>
              <w:spacing w:line="360" w:lineRule="exact"/>
              <w:jc w:val="center"/>
              <w:rPr>
                <w:b/>
                <w:szCs w:val="21"/>
              </w:rPr>
            </w:pPr>
            <w:r>
              <w:rPr>
                <w:b/>
                <w:szCs w:val="21"/>
              </w:rPr>
              <w:t>O:18.09.00,19.14.00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李俐</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268" w:type="dxa"/>
            <w:vAlign w:val="center"/>
          </w:tcPr>
          <w:p>
            <w:pPr>
              <w:spacing w:line="360" w:lineRule="exact"/>
              <w:jc w:val="center"/>
              <w:rPr>
                <w:b/>
                <w:szCs w:val="21"/>
              </w:rPr>
            </w:pPr>
            <w:r>
              <w:rPr>
                <w:b/>
                <w:szCs w:val="21"/>
              </w:rPr>
              <w:t>2021-N1QMS-2222792</w:t>
            </w:r>
          </w:p>
          <w:p>
            <w:pPr>
              <w:spacing w:line="360" w:lineRule="exact"/>
              <w:jc w:val="center"/>
              <w:rPr>
                <w:b/>
                <w:szCs w:val="21"/>
              </w:rPr>
            </w:pPr>
            <w:r>
              <w:rPr>
                <w:b/>
                <w:szCs w:val="21"/>
              </w:rPr>
              <w:t>2021-N1EMS-2222792</w:t>
            </w:r>
          </w:p>
          <w:p>
            <w:pPr>
              <w:spacing w:line="360" w:lineRule="exact"/>
              <w:jc w:val="center"/>
              <w:rPr>
                <w:b/>
                <w:szCs w:val="21"/>
              </w:rPr>
            </w:pPr>
            <w:r>
              <w:rPr>
                <w:b/>
                <w:szCs w:val="21"/>
              </w:rPr>
              <w:t>2021-N1OHSMS-2222792</w:t>
            </w:r>
          </w:p>
        </w:tc>
        <w:tc>
          <w:tcPr>
            <w:tcW w:w="3145" w:type="dxa"/>
            <w:vAlign w:val="center"/>
          </w:tcPr>
          <w:p>
            <w:pPr>
              <w:spacing w:line="360" w:lineRule="exact"/>
              <w:jc w:val="center"/>
              <w:rPr>
                <w:b/>
                <w:szCs w:val="21"/>
              </w:rPr>
            </w:pPr>
            <w:r>
              <w:rPr>
                <w:b/>
                <w:szCs w:val="21"/>
              </w:rPr>
              <w:t>Q:18.09.00,19.14.00</w:t>
            </w:r>
          </w:p>
          <w:p>
            <w:pPr>
              <w:spacing w:line="360" w:lineRule="exact"/>
              <w:jc w:val="center"/>
              <w:rPr>
                <w:b/>
                <w:szCs w:val="21"/>
              </w:rPr>
            </w:pPr>
            <w:r>
              <w:rPr>
                <w:b/>
                <w:szCs w:val="21"/>
              </w:rPr>
              <w:t>E:18.09.00,19.14.00</w:t>
            </w:r>
          </w:p>
          <w:p>
            <w:pPr>
              <w:spacing w:line="360" w:lineRule="exact"/>
              <w:jc w:val="center"/>
              <w:rPr>
                <w:b/>
                <w:szCs w:val="21"/>
              </w:rPr>
            </w:pPr>
            <w:r>
              <w:rPr>
                <w:b/>
                <w:szCs w:val="21"/>
              </w:rPr>
              <w:t>O:18.09.00,19.14.00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郭力</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268" w:type="dxa"/>
            <w:vAlign w:val="center"/>
          </w:tcPr>
          <w:p>
            <w:pPr>
              <w:spacing w:line="360" w:lineRule="exact"/>
              <w:jc w:val="center"/>
              <w:rPr>
                <w:b/>
                <w:szCs w:val="21"/>
              </w:rPr>
            </w:pPr>
            <w:r>
              <w:rPr>
                <w:b/>
                <w:szCs w:val="21"/>
              </w:rPr>
              <w:t>2021-N1QMS-1263290</w:t>
            </w:r>
          </w:p>
          <w:p>
            <w:pPr>
              <w:spacing w:line="360" w:lineRule="exact"/>
              <w:jc w:val="center"/>
              <w:rPr>
                <w:b/>
                <w:szCs w:val="21"/>
              </w:rPr>
            </w:pPr>
            <w:r>
              <w:rPr>
                <w:b/>
                <w:szCs w:val="21"/>
              </w:rPr>
              <w:t>2020-N1EMS-1263290</w:t>
            </w:r>
          </w:p>
          <w:p>
            <w:pPr>
              <w:spacing w:line="360" w:lineRule="exact"/>
              <w:jc w:val="center"/>
              <w:rPr>
                <w:b/>
                <w:szCs w:val="21"/>
              </w:rPr>
            </w:pPr>
            <w:r>
              <w:rPr>
                <w:b/>
                <w:szCs w:val="21"/>
              </w:rPr>
              <w:t>2022-N1OHSMS-1263290</w:t>
            </w:r>
          </w:p>
        </w:tc>
        <w:tc>
          <w:tcPr>
            <w:tcW w:w="3145" w:type="dxa"/>
            <w:vAlign w:val="center"/>
          </w:tcPr>
          <w:p>
            <w:pPr>
              <w:spacing w:line="360" w:lineRule="exact"/>
              <w:jc w:val="center"/>
              <w:rPr>
                <w:b/>
                <w:szCs w:val="21"/>
              </w:rPr>
            </w:pPr>
            <w:r>
              <w:rPr>
                <w:b/>
                <w:szCs w:val="21"/>
              </w:rPr>
              <w:t>Q:18.09.00,19.14.00</w:t>
            </w:r>
          </w:p>
          <w:p>
            <w:pPr>
              <w:spacing w:line="360" w:lineRule="exact"/>
              <w:jc w:val="center"/>
              <w:rPr>
                <w:b/>
                <w:szCs w:val="21"/>
              </w:rPr>
            </w:pPr>
            <w:r>
              <w:rPr>
                <w:b/>
                <w:szCs w:val="21"/>
              </w:rPr>
              <w:t>E:18.09.00,19.14.00</w:t>
            </w:r>
          </w:p>
          <w:p>
            <w:pPr>
              <w:spacing w:line="360" w:lineRule="exact"/>
              <w:jc w:val="center"/>
              <w:rPr>
                <w:b/>
                <w:szCs w:val="21"/>
              </w:rPr>
            </w:pPr>
            <w:r>
              <w:rPr>
                <w:b/>
                <w:szCs w:val="21"/>
              </w:rPr>
              <w:t>O:18.09.00,19.14.00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  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 xml:space="preserve">1.5.1 审核时间： </w:t>
      </w:r>
      <w:bookmarkStart w:id="15" w:name="审核日期"/>
      <w:r>
        <w:rPr>
          <w:rFonts w:hint="eastAsia"/>
          <w:color w:val="auto"/>
          <w:kern w:val="2"/>
          <w:sz w:val="21"/>
          <w:szCs w:val="21"/>
        </w:rPr>
        <w:t xml:space="preserve">2023年10月19日 下午至2023年10月20日 </w:t>
      </w:r>
      <w:r>
        <w:rPr>
          <w:rFonts w:hint="eastAsia"/>
          <w:color w:val="auto"/>
          <w:kern w:val="2"/>
          <w:sz w:val="21"/>
          <w:szCs w:val="21"/>
          <w:lang w:val="en-US" w:eastAsia="zh-CN"/>
        </w:rPr>
        <w:t>下</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陕西省西安市沣东新城西咸大道企业路3号</w:t>
      </w:r>
      <w:bookmarkEnd w:id="19"/>
    </w:p>
    <w:p>
      <w:pPr>
        <w:spacing w:line="360" w:lineRule="exact"/>
        <w:ind w:firstLine="420" w:firstLineChars="200"/>
      </w:pPr>
      <w:r>
        <w:rPr>
          <w:rFonts w:hint="eastAsia"/>
        </w:rPr>
        <w:t xml:space="preserve">办公地址： </w:t>
      </w:r>
    </w:p>
    <w:p>
      <w:pPr>
        <w:spacing w:line="360" w:lineRule="exact"/>
        <w:ind w:firstLine="420" w:firstLineChars="200"/>
      </w:pPr>
      <w:r>
        <w:rPr>
          <w:rFonts w:hint="eastAsia"/>
        </w:rPr>
        <w:t>经营地址：</w:t>
      </w:r>
      <w:bookmarkStart w:id="20" w:name="生产地址"/>
      <w:r>
        <w:t>陕西省西安市沣东新城西咸大道企业路3号</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  年  月  日-   年  月  日进行了第一阶段审核，审核结果详见一阶段审核报告。</w:t>
      </w:r>
    </w:p>
    <w:p>
      <w:pPr>
        <w:ind w:firstLine="420" w:firstLineChars="200"/>
        <w:rPr>
          <w:szCs w:val="21"/>
        </w:rPr>
      </w:pPr>
      <w:r>
        <w:rPr>
          <w:rFonts w:hint="eastAsia"/>
          <w:szCs w:val="21"/>
        </w:rPr>
        <w:t xml:space="preserve">一阶段识别的重要审核点： </w:t>
      </w:r>
    </w:p>
    <w:p>
      <w:pPr>
        <w:rPr>
          <w:szCs w:val="21"/>
        </w:rPr>
      </w:pPr>
    </w:p>
    <w:p>
      <w:pPr>
        <w:rPr>
          <w:b/>
          <w:szCs w:val="21"/>
        </w:rPr>
      </w:pPr>
      <w:r>
        <w:rPr>
          <w:rFonts w:hint="eastAsia"/>
          <w:b/>
          <w:szCs w:val="21"/>
        </w:rPr>
        <w:t>1.5.5 本次审核计划完成情况：</w:t>
      </w:r>
    </w:p>
    <w:p>
      <w:pPr>
        <w:rPr>
          <w:szCs w:val="21"/>
        </w:rPr>
      </w:pPr>
      <w:r>
        <w:rPr>
          <w:rFonts w:hint="eastAsia"/>
          <w:szCs w:val="21"/>
        </w:rPr>
        <w:t xml:space="preserve">1）审核计划的调整：   </w:t>
      </w:r>
      <w:r>
        <w:rPr>
          <w:rFonts w:hint="eastAsia" w:cs="宋体"/>
          <w:b/>
          <w:szCs w:val="21"/>
        </w:rPr>
        <w:t>□</w:t>
      </w:r>
      <w:r>
        <w:rPr>
          <w:rFonts w:hint="eastAsia"/>
          <w:szCs w:val="21"/>
        </w:rPr>
        <w:t xml:space="preserve">未调整； </w:t>
      </w:r>
      <w:r>
        <w:rPr>
          <w:rFonts w:hint="eastAsia" w:cs="宋体"/>
          <w:b/>
          <w:szCs w:val="21"/>
        </w:rPr>
        <w:t>□</w:t>
      </w:r>
      <w:r>
        <w:rPr>
          <w:rFonts w:hint="eastAsia"/>
          <w:szCs w:val="21"/>
        </w:rPr>
        <w:t>有调整，调整情况：</w:t>
      </w:r>
    </w:p>
    <w:p>
      <w:pPr>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 年 月 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 xml:space="preserve"> 管理体系的策划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 xml:space="preserve">3）投诉的接受和处理情况： </w:t>
            </w:r>
            <w:r>
              <w:rPr>
                <w:rFonts w:hint="eastAsia"/>
                <w:szCs w:val="21"/>
              </w:rPr>
              <w:t xml:space="preserve"> </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 xml:space="preserve">体系支持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 xml:space="preserve">1）资源保障（基础设施、监视和测量资源，关注特种特备）：  </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 xml:space="preserve">3）信息沟通：  </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26DD31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791</Words>
  <Characters>4509</Characters>
  <Lines>37</Lines>
  <Paragraphs>10</Paragraphs>
  <TotalTime>8</TotalTime>
  <ScaleCrop>false</ScaleCrop>
  <LinksUpToDate>false</LinksUpToDate>
  <CharactersWithSpaces>5290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2023-10-16T14:02:33Z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2052-12.1.0.15712</vt:lpwstr>
  </property>
</Properties>
</file>